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tabs>
          <w:tab w:val="left" w:pos="360"/>
        </w:tabs>
        <w:jc w:val="center"/>
        <w:rPr>
          <w:rFonts w:ascii="Arial" w:cs="Arial" w:hAnsi="Arial" w:eastAsia="Arial"/>
          <w:sz w:val="24"/>
          <w:szCs w:val="24"/>
        </w:rPr>
      </w:pPr>
      <w:r>
        <w:rPr>
          <w:rFonts w:ascii="Arial" w:hAnsi="Arial"/>
          <w:sz w:val="24"/>
          <w:szCs w:val="24"/>
          <w:rtl w:val="0"/>
          <w:lang w:val="de-DE"/>
        </w:rPr>
        <w:t>RUNNYMEDE PROPERTY OWNERS ASSOCIATION</w:t>
      </w:r>
    </w:p>
    <w:p>
      <w:pPr>
        <w:pStyle w:val="Body A"/>
        <w:tabs>
          <w:tab w:val="left" w:pos="360"/>
        </w:tabs>
        <w:jc w:val="center"/>
        <w:rPr>
          <w:rFonts w:ascii="Arial" w:cs="Arial" w:hAnsi="Arial" w:eastAsia="Arial"/>
          <w:sz w:val="24"/>
          <w:szCs w:val="24"/>
          <w:lang w:val="en-US"/>
        </w:rPr>
      </w:pPr>
      <w:r>
        <w:rPr>
          <w:rFonts w:ascii="Arial" w:hAnsi="Arial"/>
          <w:sz w:val="24"/>
          <w:szCs w:val="24"/>
          <w:rtl w:val="0"/>
          <w:lang w:val="en-US"/>
        </w:rPr>
        <w:t>ASSOCIATION DISCLOSURE PACKET</w:t>
      </w:r>
    </w:p>
    <w:p>
      <w:pPr>
        <w:pStyle w:val="Body A"/>
        <w:tabs>
          <w:tab w:val="left" w:pos="360"/>
        </w:tabs>
        <w:jc w:val="center"/>
        <w:rPr>
          <w:rFonts w:ascii="Arial" w:cs="Arial" w:hAnsi="Arial" w:eastAsia="Arial"/>
          <w:sz w:val="24"/>
          <w:szCs w:val="24"/>
        </w:rPr>
      </w:pPr>
    </w:p>
    <w:p>
      <w:pPr>
        <w:pStyle w:val="Body A"/>
        <w:tabs>
          <w:tab w:val="left" w:pos="360"/>
        </w:tabs>
        <w:rPr>
          <w:rFonts w:ascii="Arial" w:cs="Arial" w:hAnsi="Arial" w:eastAsia="Arial"/>
          <w:sz w:val="24"/>
          <w:szCs w:val="24"/>
          <w:lang w:val="en-US"/>
        </w:rPr>
      </w:pPr>
      <w:r>
        <w:rPr>
          <w:rFonts w:ascii="Arial" w:hAnsi="Arial"/>
          <w:sz w:val="24"/>
          <w:szCs w:val="24"/>
          <w:rtl w:val="0"/>
          <w:lang w:val="en-US"/>
        </w:rPr>
        <w:t>Pursuant to the Code of Virginia, Section 55-512 of the Virginia Property Owners Association Act, the Runnymede Property Owners Association hereby provides the following information as of June 2018:</w:t>
      </w:r>
    </w:p>
    <w:p>
      <w:pPr>
        <w:pStyle w:val="Body A"/>
        <w:tabs>
          <w:tab w:val="left" w:pos="360"/>
        </w:tabs>
        <w:rPr>
          <w:rFonts w:ascii="Arial" w:cs="Arial" w:hAnsi="Arial" w:eastAsia="Arial"/>
          <w:sz w:val="24"/>
          <w:szCs w:val="24"/>
        </w:rPr>
      </w:pPr>
    </w:p>
    <w:p>
      <w:pPr>
        <w:pStyle w:val="Body A"/>
        <w:numPr>
          <w:ilvl w:val="0"/>
          <w:numId w:val="2"/>
        </w:numPr>
        <w:bidi w:val="0"/>
        <w:ind w:right="0"/>
        <w:jc w:val="left"/>
        <w:rPr>
          <w:rFonts w:ascii="Arial" w:cs="Arial" w:hAnsi="Arial" w:eastAsia="Arial"/>
          <w:sz w:val="24"/>
          <w:szCs w:val="24"/>
          <w:rtl w:val="0"/>
          <w:lang w:val="en-US"/>
        </w:rPr>
      </w:pPr>
      <w:r>
        <w:rPr>
          <w:rFonts w:ascii="Arial" w:hAnsi="Arial"/>
          <w:sz w:val="24"/>
          <w:szCs w:val="24"/>
          <w:rtl w:val="0"/>
          <w:lang w:val="en-US"/>
        </w:rPr>
        <w:t>The name of the Association is The Runnymede Property Owners Association. The Association is incorporated in the Commonwealth of Virginia, license number is 0250 002859. The name and address of its Registered Agent in Virginia is:</w:t>
      </w:r>
    </w:p>
    <w:p>
      <w:pPr>
        <w:pStyle w:val="Body A"/>
        <w:tabs>
          <w:tab w:val="left" w:pos="360"/>
        </w:tabs>
        <w:ind w:left="720" w:firstLine="0"/>
        <w:rPr>
          <w:rFonts w:ascii="Arial" w:cs="Arial" w:hAnsi="Arial" w:eastAsia="Arial"/>
          <w:sz w:val="24"/>
          <w:szCs w:val="24"/>
          <w:lang w:val="en-US"/>
        </w:rPr>
      </w:pPr>
      <w:r>
        <w:rPr>
          <w:rFonts w:ascii="Arial" w:hAnsi="Arial"/>
          <w:sz w:val="24"/>
          <w:szCs w:val="24"/>
          <w:rtl w:val="0"/>
          <w:lang w:val="en-US"/>
        </w:rPr>
        <w:t>Richard F. Smith</w:t>
      </w:r>
    </w:p>
    <w:p>
      <w:pPr>
        <w:pStyle w:val="Body A"/>
        <w:tabs>
          <w:tab w:val="left" w:pos="360"/>
        </w:tabs>
        <w:ind w:left="720" w:firstLine="0"/>
        <w:rPr>
          <w:rFonts w:ascii="Arial" w:cs="Arial" w:hAnsi="Arial" w:eastAsia="Arial"/>
          <w:sz w:val="24"/>
          <w:szCs w:val="24"/>
          <w:lang w:val="en-US"/>
        </w:rPr>
      </w:pPr>
      <w:r>
        <w:rPr>
          <w:rFonts w:ascii="Arial" w:hAnsi="Arial"/>
          <w:sz w:val="24"/>
          <w:szCs w:val="24"/>
          <w:rtl w:val="0"/>
          <w:lang w:val="en-US"/>
        </w:rPr>
        <w:t>3375 Darby Road</w:t>
      </w:r>
    </w:p>
    <w:p>
      <w:pPr>
        <w:pStyle w:val="Body A"/>
        <w:tabs>
          <w:tab w:val="left" w:pos="360"/>
        </w:tabs>
        <w:ind w:left="720" w:firstLine="0"/>
        <w:rPr>
          <w:rFonts w:ascii="Arial" w:cs="Arial" w:hAnsi="Arial" w:eastAsia="Arial"/>
          <w:sz w:val="24"/>
          <w:szCs w:val="24"/>
        </w:rPr>
      </w:pPr>
      <w:r>
        <w:rPr>
          <w:rFonts w:ascii="Arial" w:hAnsi="Arial"/>
          <w:sz w:val="24"/>
          <w:szCs w:val="24"/>
          <w:rtl w:val="0"/>
          <w:lang w:val="en-US"/>
        </w:rPr>
        <w:t>Keswick, VA 22947-2706</w:t>
      </w:r>
      <w:r>
        <w:rPr>
          <w:rFonts w:ascii="Arial Unicode MS" w:cs="Arial Unicode MS" w:hAnsi="Arial Unicode MS" w:eastAsia="Arial Unicode MS"/>
          <w:sz w:val="24"/>
          <w:szCs w:val="24"/>
          <w:lang w:val="de-DE"/>
        </w:rPr>
        <w:br w:type="textWrapping"/>
      </w:r>
    </w:p>
    <w:p>
      <w:pPr>
        <w:pStyle w:val="Body A"/>
        <w:numPr>
          <w:ilvl w:val="0"/>
          <w:numId w:val="2"/>
        </w:numPr>
        <w:bidi w:val="0"/>
        <w:ind w:right="0"/>
        <w:jc w:val="left"/>
        <w:rPr>
          <w:rFonts w:ascii="Arial" w:cs="Arial" w:hAnsi="Arial" w:eastAsia="Arial"/>
          <w:sz w:val="24"/>
          <w:szCs w:val="24"/>
          <w:rtl w:val="0"/>
          <w:lang w:val="en-US"/>
        </w:rPr>
      </w:pPr>
      <w:r>
        <w:rPr>
          <w:rFonts w:ascii="Arial" w:hAnsi="Arial"/>
          <w:sz w:val="24"/>
          <w:szCs w:val="24"/>
          <w:rtl w:val="0"/>
          <w:lang w:val="en-US"/>
        </w:rPr>
        <w:t xml:space="preserve">Total expenditures for the calendar year 2017 were </w:t>
      </w:r>
      <w:r>
        <w:rPr>
          <w:rFonts w:ascii="Arial" w:hAnsi="Arial"/>
          <w:color w:val="000000"/>
          <w:sz w:val="24"/>
          <w:szCs w:val="24"/>
          <w:u w:color="ff0000"/>
          <w:rtl w:val="0"/>
          <w:lang w:val="en-US"/>
        </w:rPr>
        <w:t>$1,211.93.</w:t>
      </w:r>
      <w:r>
        <w:rPr>
          <w:rFonts w:ascii="Arial" w:hAnsi="Arial"/>
          <w:color w:val="ff0000"/>
          <w:sz w:val="24"/>
          <w:szCs w:val="24"/>
          <w:u w:color="ff0000"/>
          <w:rtl w:val="0"/>
          <w:lang w:val="en-US"/>
        </w:rPr>
        <w:t xml:space="preserve"> </w:t>
      </w:r>
    </w:p>
    <w:p>
      <w:pPr>
        <w:pStyle w:val="Body A"/>
        <w:ind w:left="360" w:firstLine="0"/>
        <w:rPr>
          <w:rFonts w:ascii="Arial" w:cs="Arial" w:hAnsi="Arial" w:eastAsia="Arial"/>
          <w:sz w:val="24"/>
          <w:szCs w:val="24"/>
        </w:rPr>
      </w:pPr>
    </w:p>
    <w:p>
      <w:pPr>
        <w:pStyle w:val="Body A"/>
        <w:numPr>
          <w:ilvl w:val="0"/>
          <w:numId w:val="2"/>
        </w:numPr>
        <w:bidi w:val="0"/>
        <w:ind w:right="0"/>
        <w:jc w:val="left"/>
        <w:rPr>
          <w:rFonts w:ascii="Arial" w:cs="Arial" w:hAnsi="Arial" w:eastAsia="Arial"/>
          <w:sz w:val="24"/>
          <w:szCs w:val="24"/>
          <w:rtl w:val="0"/>
          <w:lang w:val="en-US"/>
        </w:rPr>
      </w:pPr>
      <w:r>
        <w:rPr>
          <w:rFonts w:ascii="Arial" w:hAnsi="Arial"/>
          <w:sz w:val="24"/>
          <w:szCs w:val="24"/>
          <w:rtl w:val="0"/>
          <w:lang w:val="en-US"/>
        </w:rPr>
        <w:t>The amount of the annual (calendar year) assessment and total fees currently charged by the Association is $100.00 per lot (there are 45 lots.)  Assessments are due on June 1</w:t>
      </w:r>
      <w:r>
        <w:rPr>
          <w:rFonts w:ascii="Arial" w:hAnsi="Arial"/>
          <w:sz w:val="24"/>
          <w:szCs w:val="24"/>
          <w:vertAlign w:val="superscript"/>
          <w:rtl w:val="0"/>
          <w:lang w:val="en-US"/>
        </w:rPr>
        <w:t>st</w:t>
      </w:r>
      <w:r>
        <w:rPr>
          <w:rFonts w:ascii="Arial" w:hAnsi="Arial"/>
          <w:sz w:val="24"/>
          <w:szCs w:val="24"/>
          <w:rtl w:val="0"/>
          <w:lang w:val="en-US"/>
        </w:rPr>
        <w:t xml:space="preserve"> or on the date of the annual meeting.  The next annual meeting will probably be scheduled in early June 2019</w:t>
      </w:r>
      <w:r>
        <w:rPr>
          <w:rFonts w:ascii="Arial" w:hAnsi="Arial"/>
          <w:sz w:val="24"/>
          <w:szCs w:val="24"/>
          <w:rtl w:val="0"/>
          <w:lang w:val="de-DE"/>
        </w:rPr>
        <w:t>.</w:t>
      </w:r>
      <w:r>
        <w:rPr>
          <w:rFonts w:ascii="Arial Unicode MS" w:cs="Arial Unicode MS" w:hAnsi="Arial Unicode MS" w:eastAsia="Arial Unicode MS"/>
          <w:sz w:val="24"/>
          <w:szCs w:val="24"/>
          <w:lang w:val="de-DE"/>
        </w:rPr>
        <w:br w:type="textWrapping"/>
      </w:r>
    </w:p>
    <w:p>
      <w:pPr>
        <w:pStyle w:val="Body A"/>
        <w:numPr>
          <w:ilvl w:val="0"/>
          <w:numId w:val="2"/>
        </w:numPr>
        <w:bidi w:val="0"/>
        <w:ind w:right="0"/>
        <w:jc w:val="left"/>
        <w:rPr>
          <w:rFonts w:ascii="Arial" w:cs="Arial" w:hAnsi="Arial" w:eastAsia="Arial"/>
          <w:sz w:val="24"/>
          <w:szCs w:val="24"/>
          <w:rtl w:val="0"/>
          <w:lang w:val="en-US"/>
        </w:rPr>
      </w:pPr>
      <w:r>
        <w:rPr>
          <w:rFonts w:ascii="Arial" w:hAnsi="Arial"/>
          <w:sz w:val="24"/>
          <w:szCs w:val="24"/>
          <w:rtl w:val="0"/>
          <w:lang w:val="en-US"/>
        </w:rPr>
        <w:t>There is no known other entity or facility to which the lot owner may be libel for Association</w:t>
      </w:r>
      <w:r>
        <w:rPr>
          <w:rFonts w:ascii="Arial" w:hAnsi="Arial"/>
          <w:sz w:val="24"/>
          <w:szCs w:val="24"/>
          <w:rtl w:val="0"/>
          <w:lang w:val="en-US"/>
        </w:rPr>
        <w:t xml:space="preserve"> fees or other Association charges.</w:t>
      </w:r>
      <w:r>
        <w:rPr>
          <w:rFonts w:ascii="Arial Unicode MS" w:cs="Arial Unicode MS" w:hAnsi="Arial Unicode MS" w:eastAsia="Arial Unicode MS"/>
          <w:sz w:val="24"/>
          <w:szCs w:val="24"/>
          <w:lang w:val="de-DE"/>
        </w:rPr>
        <w:br w:type="textWrapping"/>
      </w:r>
    </w:p>
    <w:p>
      <w:pPr>
        <w:pStyle w:val="Body A"/>
        <w:numPr>
          <w:ilvl w:val="0"/>
          <w:numId w:val="2"/>
        </w:numPr>
        <w:bidi w:val="0"/>
        <w:ind w:right="0"/>
        <w:jc w:val="left"/>
        <w:rPr>
          <w:rFonts w:ascii="Arial" w:cs="Arial" w:hAnsi="Arial" w:eastAsia="Arial"/>
          <w:sz w:val="24"/>
          <w:szCs w:val="24"/>
          <w:rtl w:val="0"/>
          <w:lang w:val="en-US"/>
        </w:rPr>
      </w:pPr>
      <w:r>
        <w:rPr>
          <w:rFonts w:ascii="Arial" w:hAnsi="Arial"/>
          <w:sz w:val="24"/>
          <w:szCs w:val="24"/>
          <w:rtl w:val="0"/>
          <w:lang w:val="en-US"/>
        </w:rPr>
        <w:t>The Association Reserve fund as of May 29, 2018 was $18,225.19.  Any replacement of property that exceeds the Reserve fund will be made through a special assessment.  Also, the Association, as of May 29, 2018 had $5,767.93 in our Checking or Operational account.</w:t>
      </w:r>
    </w:p>
    <w:p>
      <w:pPr>
        <w:pStyle w:val="Body A"/>
        <w:tabs>
          <w:tab w:val="left" w:pos="360"/>
        </w:tabs>
        <w:rPr>
          <w:rFonts w:ascii="Arial" w:cs="Arial" w:hAnsi="Arial" w:eastAsia="Arial"/>
          <w:sz w:val="24"/>
          <w:szCs w:val="24"/>
        </w:rPr>
      </w:pPr>
    </w:p>
    <w:p>
      <w:pPr>
        <w:pStyle w:val="Body A"/>
        <w:numPr>
          <w:ilvl w:val="0"/>
          <w:numId w:val="2"/>
        </w:numPr>
        <w:bidi w:val="0"/>
        <w:ind w:right="0"/>
        <w:jc w:val="left"/>
        <w:rPr>
          <w:rFonts w:ascii="Arial" w:cs="Arial" w:hAnsi="Arial" w:eastAsia="Arial"/>
          <w:sz w:val="24"/>
          <w:szCs w:val="24"/>
          <w:rtl w:val="0"/>
          <w:lang w:val="en-US"/>
        </w:rPr>
      </w:pPr>
      <w:r>
        <w:rPr>
          <w:rFonts w:ascii="Arial" w:hAnsi="Arial"/>
          <w:sz w:val="24"/>
          <w:szCs w:val="24"/>
          <w:rtl w:val="0"/>
          <w:lang w:val="en-US"/>
        </w:rPr>
        <w:t>The Runnymede Property Owners Association does not operate through a budget system.  Submitted with this Disclosure Statement is a Statement of Income and Expenses for calendar year 2017.</w:t>
      </w:r>
      <w:r>
        <w:rPr>
          <w:rFonts w:ascii="Arial Unicode MS" w:cs="Arial Unicode MS" w:hAnsi="Arial Unicode MS" w:eastAsia="Arial Unicode MS"/>
          <w:sz w:val="24"/>
          <w:szCs w:val="24"/>
          <w:lang w:val="de-DE"/>
        </w:rPr>
        <w:br w:type="textWrapping"/>
      </w:r>
    </w:p>
    <w:p>
      <w:pPr>
        <w:pStyle w:val="Body A"/>
        <w:numPr>
          <w:ilvl w:val="0"/>
          <w:numId w:val="2"/>
        </w:numPr>
        <w:bidi w:val="0"/>
        <w:ind w:right="0"/>
        <w:jc w:val="left"/>
        <w:rPr>
          <w:rFonts w:ascii="Arial" w:cs="Arial" w:hAnsi="Arial" w:eastAsia="Arial"/>
          <w:sz w:val="24"/>
          <w:szCs w:val="24"/>
          <w:rtl w:val="0"/>
          <w:lang w:val="en-US"/>
        </w:rPr>
      </w:pPr>
      <w:r>
        <w:rPr>
          <w:rFonts w:ascii="Arial" w:hAnsi="Arial"/>
          <w:sz w:val="24"/>
          <w:szCs w:val="24"/>
          <w:rtl w:val="0"/>
          <w:lang w:val="en-US"/>
        </w:rPr>
        <w:t>There are no pending suits or unpaid judgment to which the Association is a party which</w:t>
      </w:r>
      <w:r>
        <w:rPr>
          <w:rFonts w:ascii="Arial Unicode MS" w:hAnsi="Arial Unicode MS"/>
          <w:sz w:val="24"/>
          <w:szCs w:val="24"/>
          <w:rtl w:val="0"/>
          <w:lang w:val="en-US"/>
        </w:rPr>
        <w:t xml:space="preserve"> </w:t>
      </w:r>
      <w:r>
        <w:rPr>
          <w:rFonts w:ascii="Arial" w:hAnsi="Arial"/>
          <w:sz w:val="24"/>
          <w:szCs w:val="24"/>
          <w:rtl w:val="0"/>
          <w:lang w:val="en-US"/>
        </w:rPr>
        <w:t>either could or would have a material impact on the Association</w:t>
      </w:r>
      <w:r>
        <w:rPr>
          <w:rFonts w:ascii="Arial" w:hAnsi="Arial"/>
          <w:sz w:val="24"/>
          <w:szCs w:val="24"/>
          <w:rtl w:val="0"/>
          <w:lang w:val="en-US"/>
        </w:rPr>
        <w:t>,</w:t>
      </w:r>
      <w:r>
        <w:rPr>
          <w:rFonts w:ascii="Arial" w:hAnsi="Arial"/>
          <w:sz w:val="24"/>
          <w:szCs w:val="24"/>
          <w:rtl w:val="0"/>
          <w:lang w:val="en-US"/>
        </w:rPr>
        <w:t xml:space="preserve"> or its members or the lot being purchased.</w:t>
      </w:r>
      <w:r>
        <w:rPr>
          <w:rFonts w:ascii="Arial Unicode MS" w:cs="Arial Unicode MS" w:hAnsi="Arial Unicode MS" w:eastAsia="Arial Unicode MS"/>
          <w:sz w:val="24"/>
          <w:szCs w:val="24"/>
          <w:lang w:val="de-DE"/>
        </w:rPr>
        <w:br w:type="textWrapping"/>
      </w:r>
    </w:p>
    <w:p>
      <w:pPr>
        <w:pStyle w:val="Body A"/>
        <w:numPr>
          <w:ilvl w:val="0"/>
          <w:numId w:val="2"/>
        </w:numPr>
        <w:bidi w:val="0"/>
        <w:ind w:right="0"/>
        <w:jc w:val="left"/>
        <w:rPr>
          <w:rFonts w:ascii="Arial" w:cs="Arial" w:hAnsi="Arial" w:eastAsia="Arial"/>
          <w:sz w:val="24"/>
          <w:szCs w:val="24"/>
          <w:rtl w:val="0"/>
          <w:lang w:val="en-US"/>
        </w:rPr>
      </w:pPr>
      <w:r>
        <w:rPr>
          <w:rFonts w:ascii="Arial" w:hAnsi="Arial"/>
          <w:sz w:val="24"/>
          <w:szCs w:val="24"/>
          <w:rtl w:val="0"/>
          <w:lang w:val="en-US"/>
        </w:rPr>
        <w:t>The Association maintains insurance coverage in the amount of one million dollars ($1,000,000) with State Farm Insurance Company.</w:t>
      </w:r>
    </w:p>
    <w:p>
      <w:pPr>
        <w:pStyle w:val="Body A"/>
        <w:tabs>
          <w:tab w:val="left" w:pos="360"/>
        </w:tabs>
        <w:rPr>
          <w:rFonts w:ascii="Arial" w:cs="Arial" w:hAnsi="Arial" w:eastAsia="Arial"/>
          <w:sz w:val="24"/>
          <w:szCs w:val="24"/>
        </w:rPr>
      </w:pPr>
    </w:p>
    <w:p>
      <w:pPr>
        <w:pStyle w:val="Body A"/>
        <w:numPr>
          <w:ilvl w:val="0"/>
          <w:numId w:val="3"/>
        </w:numPr>
        <w:bidi w:val="0"/>
        <w:ind w:right="0"/>
        <w:jc w:val="left"/>
        <w:rPr>
          <w:sz w:val="24"/>
          <w:szCs w:val="24"/>
          <w:rtl w:val="0"/>
          <w:lang w:val="en-US"/>
        </w:rPr>
      </w:pPr>
      <w:r>
        <w:rPr>
          <w:rFonts w:ascii="Arial" w:hAnsi="Arial"/>
          <w:sz w:val="24"/>
          <w:szCs w:val="24"/>
          <w:rtl w:val="0"/>
          <w:lang w:val="en-US"/>
        </w:rPr>
        <w:t>There are no known improvements or alterations previously made to the lot or common area assigned thereto are in violation of the Covenants or By-Laws of the Association.</w:t>
      </w:r>
    </w:p>
    <w:p>
      <w:pPr>
        <w:pStyle w:val="List Paragraph"/>
        <w:rPr>
          <w:rFonts w:ascii="Arial" w:cs="Arial" w:hAnsi="Arial" w:eastAsia="Arial"/>
          <w:sz w:val="24"/>
          <w:szCs w:val="24"/>
          <w:lang w:val="en-US"/>
        </w:rPr>
      </w:pPr>
    </w:p>
    <w:p>
      <w:pPr>
        <w:pStyle w:val="List Paragraph"/>
        <w:rPr>
          <w:rFonts w:ascii="Arial" w:cs="Arial" w:hAnsi="Arial" w:eastAsia="Arial"/>
          <w:sz w:val="24"/>
          <w:szCs w:val="24"/>
        </w:rPr>
      </w:pPr>
    </w:p>
    <w:p>
      <w:pPr>
        <w:pStyle w:val="Body A"/>
        <w:numPr>
          <w:ilvl w:val="0"/>
          <w:numId w:val="2"/>
        </w:numPr>
        <w:bidi w:val="0"/>
        <w:ind w:right="0"/>
        <w:jc w:val="left"/>
        <w:rPr>
          <w:rFonts w:ascii="Arial" w:cs="Arial" w:hAnsi="Arial" w:eastAsia="Arial"/>
          <w:sz w:val="24"/>
          <w:szCs w:val="24"/>
          <w:rtl w:val="0"/>
          <w:lang w:val="en-US"/>
        </w:rPr>
      </w:pPr>
      <w:r>
        <w:rPr>
          <w:rFonts w:ascii="Arial" w:hAnsi="Arial"/>
          <w:sz w:val="24"/>
          <w:szCs w:val="24"/>
          <w:rtl w:val="0"/>
          <w:lang w:val="en-US"/>
        </w:rPr>
        <w:t xml:space="preserve"> </w:t>
      </w:r>
      <w:r>
        <w:rPr>
          <w:rFonts w:ascii="Arial" w:hAnsi="Arial"/>
          <w:sz w:val="24"/>
          <w:szCs w:val="24"/>
          <w:rtl w:val="0"/>
          <w:lang w:val="en-US"/>
        </w:rPr>
        <w:t>A copy of the Association</w:t>
      </w:r>
      <w:r>
        <w:rPr>
          <w:rFonts w:ascii="Arial" w:hAnsi="Arial" w:hint="default"/>
          <w:sz w:val="24"/>
          <w:szCs w:val="24"/>
          <w:rtl w:val="0"/>
          <w:lang w:val="en-US"/>
        </w:rPr>
        <w:t>’</w:t>
      </w:r>
      <w:r>
        <w:rPr>
          <w:rFonts w:ascii="Arial" w:hAnsi="Arial"/>
          <w:sz w:val="24"/>
          <w:szCs w:val="24"/>
          <w:rtl w:val="0"/>
          <w:lang w:val="en-US"/>
        </w:rPr>
        <w:t>s Declaration of Covenants and By-Laws are attached.</w:t>
      </w:r>
    </w:p>
    <w:p>
      <w:pPr>
        <w:pStyle w:val="Body A"/>
        <w:bidi w:val="0"/>
        <w:ind w:left="0" w:right="0" w:firstLine="0"/>
        <w:jc w:val="left"/>
        <w:rPr>
          <w:rFonts w:ascii="Arial" w:cs="Arial" w:hAnsi="Arial" w:eastAsia="Arial"/>
          <w:sz w:val="24"/>
          <w:szCs w:val="24"/>
          <w:rtl w:val="0"/>
          <w:lang w:val="en-US"/>
        </w:rPr>
      </w:pPr>
      <w:r>
        <w:rPr>
          <w:rFonts w:ascii="Arial" w:hAnsi="Arial"/>
          <w:sz w:val="24"/>
          <w:szCs w:val="24"/>
          <w:rtl w:val="0"/>
          <w:lang w:val="en-US"/>
        </w:rPr>
        <w:t xml:space="preserve">      The settlement attorney should provide a complete set of restrictive covenants </w:t>
      </w:r>
    </w:p>
    <w:p>
      <w:pPr>
        <w:pStyle w:val="Body A"/>
        <w:bidi w:val="0"/>
        <w:ind w:left="0" w:right="0" w:firstLine="0"/>
        <w:jc w:val="left"/>
        <w:rPr>
          <w:rFonts w:ascii="Arial" w:cs="Arial" w:hAnsi="Arial" w:eastAsia="Arial"/>
          <w:sz w:val="24"/>
          <w:szCs w:val="24"/>
          <w:rtl w:val="0"/>
          <w:lang w:val="en-US"/>
        </w:rPr>
      </w:pPr>
      <w:r>
        <w:rPr>
          <w:rFonts w:ascii="Arial" w:hAnsi="Arial"/>
          <w:sz w:val="24"/>
          <w:szCs w:val="24"/>
          <w:rtl w:val="0"/>
          <w:lang w:val="en-US"/>
        </w:rPr>
        <w:t xml:space="preserve">       applicable to the lot purchased.</w:t>
      </w:r>
    </w:p>
    <w:p>
      <w:pPr>
        <w:pStyle w:val="Body A"/>
        <w:bidi w:val="0"/>
        <w:ind w:left="0" w:right="0" w:firstLine="0"/>
        <w:jc w:val="left"/>
        <w:rPr>
          <w:rFonts w:ascii="Arial" w:cs="Arial" w:hAnsi="Arial" w:eastAsia="Arial"/>
          <w:sz w:val="24"/>
          <w:szCs w:val="24"/>
          <w:rtl w:val="0"/>
          <w:lang w:val="en-US"/>
        </w:rPr>
      </w:pPr>
    </w:p>
    <w:p>
      <w:pPr>
        <w:pStyle w:val="Body A"/>
        <w:bidi w:val="0"/>
        <w:ind w:left="0" w:right="0" w:firstLine="0"/>
        <w:jc w:val="left"/>
        <w:rPr>
          <w:rFonts w:ascii="Arial" w:cs="Arial" w:hAnsi="Arial" w:eastAsia="Arial"/>
          <w:sz w:val="24"/>
          <w:szCs w:val="24"/>
          <w:rtl w:val="0"/>
          <w:lang w:val="en-US"/>
        </w:rPr>
      </w:pPr>
    </w:p>
    <w:p>
      <w:pPr>
        <w:pStyle w:val="Body A"/>
        <w:bidi w:val="0"/>
        <w:ind w:left="0" w:right="0" w:firstLine="0"/>
        <w:jc w:val="left"/>
        <w:rPr>
          <w:rFonts w:ascii="Arial" w:cs="Arial" w:hAnsi="Arial" w:eastAsia="Arial"/>
          <w:sz w:val="24"/>
          <w:szCs w:val="24"/>
          <w:rtl w:val="0"/>
          <w:lang w:val="en-US"/>
        </w:rPr>
      </w:pPr>
      <w:r>
        <w:rPr>
          <w:rFonts w:ascii="Arial" w:hAnsi="Arial"/>
          <w:sz w:val="24"/>
          <w:szCs w:val="24"/>
          <w:rtl w:val="0"/>
          <w:lang w:val="en-US"/>
        </w:rPr>
        <w:t xml:space="preserve">11. Articles V and VI of the Covenants prescribe the restrictions on the use of property </w:t>
      </w:r>
    </w:p>
    <w:p>
      <w:pPr>
        <w:pStyle w:val="Body A"/>
        <w:bidi w:val="0"/>
        <w:ind w:left="0" w:right="0" w:firstLine="0"/>
        <w:jc w:val="left"/>
        <w:rPr>
          <w:rFonts w:ascii="Arial" w:cs="Arial" w:hAnsi="Arial" w:eastAsia="Arial"/>
          <w:sz w:val="24"/>
          <w:szCs w:val="24"/>
          <w:rtl w:val="0"/>
          <w:lang w:val="en-US"/>
        </w:rPr>
      </w:pPr>
      <w:r>
        <w:rPr>
          <w:rFonts w:ascii="Arial" w:hAnsi="Arial"/>
          <w:sz w:val="24"/>
          <w:szCs w:val="24"/>
          <w:rtl w:val="0"/>
          <w:lang w:val="en-US"/>
        </w:rPr>
        <w:t xml:space="preserve">      and standards of care. These restrictions are enforced. For example, article 6.7     </w:t>
      </w:r>
    </w:p>
    <w:p>
      <w:pPr>
        <w:pStyle w:val="Body A"/>
        <w:bidi w:val="0"/>
        <w:ind w:left="0" w:right="0" w:firstLine="0"/>
        <w:jc w:val="left"/>
        <w:rPr>
          <w:rFonts w:ascii="Arial" w:cs="Arial" w:hAnsi="Arial" w:eastAsia="Arial"/>
          <w:sz w:val="24"/>
          <w:szCs w:val="24"/>
          <w:rtl w:val="0"/>
          <w:lang w:val="en-US"/>
        </w:rPr>
      </w:pPr>
      <w:r>
        <w:rPr>
          <w:rFonts w:ascii="Arial" w:hAnsi="Arial"/>
          <w:sz w:val="24"/>
          <w:szCs w:val="24"/>
          <w:rtl w:val="0"/>
          <w:lang w:val="en-US"/>
        </w:rPr>
        <w:t xml:space="preserve">      states:</w:t>
      </w:r>
    </w:p>
    <w:p>
      <w:pPr>
        <w:pStyle w:val="List Paragraph"/>
        <w:rPr>
          <w:rFonts w:ascii="Arial" w:cs="Arial" w:hAnsi="Arial" w:eastAsia="Arial"/>
          <w:sz w:val="24"/>
          <w:szCs w:val="24"/>
        </w:rPr>
      </w:pPr>
    </w:p>
    <w:p>
      <w:pPr>
        <w:pStyle w:val="Body A"/>
        <w:ind w:left="720" w:right="630" w:firstLine="0"/>
        <w:rPr>
          <w:rFonts w:ascii="Arial" w:cs="Arial" w:hAnsi="Arial" w:eastAsia="Arial"/>
          <w:sz w:val="24"/>
          <w:szCs w:val="24"/>
        </w:rPr>
      </w:pPr>
      <w:r>
        <w:rPr>
          <w:rFonts w:ascii="Arial" w:cs="Arial" w:hAnsi="Arial" w:eastAsia="Arial"/>
          <w:sz w:val="24"/>
          <w:szCs w:val="24"/>
          <w:lang w:val="de-DE"/>
        </w:rPr>
        <w:tab/>
      </w:r>
      <w:r>
        <w:rPr>
          <w:rFonts w:ascii="Arial" w:hAnsi="Arial"/>
          <w:sz w:val="24"/>
          <w:szCs w:val="24"/>
          <w:u w:val="single"/>
          <w:rtl w:val="0"/>
          <w:lang w:val="en-US"/>
        </w:rPr>
        <w:t>Signs</w:t>
      </w:r>
      <w:r>
        <w:rPr>
          <w:rFonts w:ascii="Arial" w:hAnsi="Arial"/>
          <w:sz w:val="24"/>
          <w:szCs w:val="24"/>
          <w:rtl w:val="0"/>
          <w:lang w:val="en-US"/>
        </w:rPr>
        <w:t>.  No sign of any kind shall be displayed to the public view on any lot except: (i) one professional sign of not more than three square feet, advertising the property for sale or rent or the sign used by a builder to indicate the building process which is under way; (ii) a sign not exceeding 2 square feet providing the house or homeowners name and name of a security company.  Conventional mailboxes and house numbers may be installed.</w:t>
      </w:r>
      <w:r>
        <w:rPr>
          <w:rFonts w:ascii="Arial Unicode MS" w:cs="Arial Unicode MS" w:hAnsi="Arial Unicode MS" w:eastAsia="Arial Unicode MS"/>
          <w:sz w:val="24"/>
          <w:szCs w:val="24"/>
          <w:lang w:val="de-DE"/>
        </w:rPr>
        <w:br w:type="textWrapping"/>
      </w:r>
    </w:p>
    <w:p>
      <w:pPr>
        <w:pStyle w:val="Body A"/>
        <w:ind w:right="630"/>
        <w:rPr>
          <w:rFonts w:ascii="Arial" w:cs="Arial" w:hAnsi="Arial" w:eastAsia="Arial"/>
          <w:sz w:val="24"/>
          <w:szCs w:val="24"/>
          <w:lang w:val="en-US"/>
        </w:rPr>
      </w:pPr>
      <w:r>
        <w:rPr>
          <w:rFonts w:ascii="Arial" w:hAnsi="Arial"/>
          <w:sz w:val="24"/>
          <w:szCs w:val="24"/>
          <w:rtl w:val="0"/>
          <w:lang w:val="en-US"/>
        </w:rPr>
        <w:t xml:space="preserve">      </w:t>
      </w:r>
      <w:r>
        <w:rPr>
          <w:rFonts w:ascii="Arial" w:hAnsi="Arial"/>
          <w:sz w:val="24"/>
          <w:szCs w:val="24"/>
          <w:rtl w:val="0"/>
          <w:lang w:val="en-US"/>
        </w:rPr>
        <w:t xml:space="preserve">There are no restrictions on placement of a flag on any property within </w:t>
      </w:r>
      <w:r>
        <w:rPr>
          <w:rFonts w:ascii="Arial" w:hAnsi="Arial"/>
          <w:sz w:val="24"/>
          <w:szCs w:val="24"/>
          <w:rtl w:val="0"/>
          <w:lang w:val="en-US"/>
        </w:rPr>
        <w:t xml:space="preserve">     </w:t>
      </w:r>
    </w:p>
    <w:p>
      <w:pPr>
        <w:pStyle w:val="Body A"/>
        <w:ind w:right="630"/>
        <w:rPr>
          <w:rFonts w:ascii="Arial" w:cs="Arial" w:hAnsi="Arial" w:eastAsia="Arial"/>
          <w:sz w:val="24"/>
          <w:szCs w:val="24"/>
          <w:lang w:val="en-US"/>
        </w:rPr>
      </w:pPr>
      <w:r>
        <w:rPr>
          <w:rFonts w:ascii="Arial" w:hAnsi="Arial"/>
          <w:sz w:val="24"/>
          <w:szCs w:val="24"/>
          <w:rtl w:val="0"/>
          <w:lang w:val="en-US"/>
        </w:rPr>
        <w:t xml:space="preserve">      </w:t>
      </w:r>
      <w:r>
        <w:rPr>
          <w:rFonts w:ascii="Arial" w:hAnsi="Arial"/>
          <w:sz w:val="24"/>
          <w:szCs w:val="24"/>
          <w:rtl w:val="0"/>
          <w:lang w:val="en-US"/>
        </w:rPr>
        <w:t>Runnymede.</w:t>
      </w:r>
    </w:p>
    <w:p>
      <w:pPr>
        <w:pStyle w:val="Body A"/>
        <w:tabs>
          <w:tab w:val="left" w:pos="360"/>
        </w:tabs>
        <w:rPr>
          <w:rFonts w:ascii="Arial" w:cs="Arial" w:hAnsi="Arial" w:eastAsia="Arial"/>
          <w:sz w:val="24"/>
          <w:szCs w:val="24"/>
        </w:rPr>
      </w:pPr>
    </w:p>
    <w:p>
      <w:pPr>
        <w:pStyle w:val="Body A"/>
        <w:tabs>
          <w:tab w:val="left" w:pos="360"/>
        </w:tabs>
        <w:rPr>
          <w:rFonts w:ascii="Arial" w:cs="Arial" w:hAnsi="Arial" w:eastAsia="Arial"/>
          <w:sz w:val="24"/>
          <w:szCs w:val="24"/>
        </w:rPr>
      </w:pPr>
      <w:r>
        <w:rPr>
          <w:rFonts w:ascii="Arial" w:hAnsi="Arial"/>
          <w:sz w:val="24"/>
          <w:szCs w:val="24"/>
          <w:rtl w:val="0"/>
          <w:lang w:val="en-US"/>
        </w:rPr>
        <w:t xml:space="preserve">12. There are no proposed changes to any rule or architectural change within the </w:t>
      </w:r>
    </w:p>
    <w:p>
      <w:pPr>
        <w:pStyle w:val="Body A"/>
        <w:tabs>
          <w:tab w:val="left" w:pos="360"/>
        </w:tabs>
        <w:rPr>
          <w:rFonts w:ascii="Arial" w:cs="Arial" w:hAnsi="Arial" w:eastAsia="Arial"/>
          <w:sz w:val="24"/>
          <w:szCs w:val="24"/>
        </w:rPr>
      </w:pPr>
      <w:r>
        <w:rPr>
          <w:rFonts w:ascii="Arial" w:hAnsi="Arial"/>
          <w:sz w:val="24"/>
          <w:szCs w:val="24"/>
          <w:rtl w:val="0"/>
          <w:lang w:val="en-US"/>
        </w:rPr>
        <w:t xml:space="preserve">       Association.</w:t>
      </w:r>
    </w:p>
    <w:p>
      <w:pPr>
        <w:pStyle w:val="Body A"/>
        <w:tabs>
          <w:tab w:val="left" w:pos="360"/>
        </w:tabs>
        <w:rPr>
          <w:rFonts w:ascii="Arial" w:cs="Arial" w:hAnsi="Arial" w:eastAsia="Arial"/>
          <w:sz w:val="24"/>
          <w:szCs w:val="24"/>
        </w:rPr>
      </w:pPr>
    </w:p>
    <w:p>
      <w:pPr>
        <w:pStyle w:val="Body A"/>
        <w:tabs>
          <w:tab w:val="left" w:pos="360"/>
        </w:tabs>
        <w:rPr>
          <w:rFonts w:ascii="Arial" w:cs="Arial" w:hAnsi="Arial" w:eastAsia="Arial"/>
          <w:sz w:val="24"/>
          <w:szCs w:val="24"/>
        </w:rPr>
      </w:pPr>
    </w:p>
    <w:p>
      <w:pPr>
        <w:pStyle w:val="Body A"/>
        <w:tabs>
          <w:tab w:val="left" w:pos="360"/>
        </w:tabs>
        <w:rPr>
          <w:rFonts w:ascii="Arial" w:cs="Arial" w:hAnsi="Arial" w:eastAsia="Arial"/>
          <w:sz w:val="24"/>
          <w:szCs w:val="24"/>
          <w:lang w:val="en-US"/>
        </w:rPr>
      </w:pPr>
      <w:r>
        <w:rPr>
          <w:rFonts w:ascii="Arial" w:hAnsi="Arial"/>
          <w:sz w:val="24"/>
          <w:szCs w:val="24"/>
          <w:rtl w:val="0"/>
          <w:lang w:val="en-US"/>
        </w:rPr>
        <w:t xml:space="preserve">13. </w:t>
      </w:r>
      <w:r>
        <w:rPr>
          <w:rFonts w:ascii="Arial" w:hAnsi="Arial"/>
          <w:sz w:val="24"/>
          <w:szCs w:val="24"/>
          <w:rtl w:val="0"/>
          <w:lang w:val="en-US"/>
        </w:rPr>
        <w:t xml:space="preserve">The minutes of the 2018 Association meeting and last Board of Directors meeting </w:t>
      </w:r>
      <w:r>
        <w:rPr>
          <w:rFonts w:ascii="Arial" w:hAnsi="Arial"/>
          <w:sz w:val="24"/>
          <w:szCs w:val="24"/>
          <w:rtl w:val="0"/>
          <w:lang w:val="en-US"/>
        </w:rPr>
        <w:t xml:space="preserve"> </w:t>
      </w:r>
    </w:p>
    <w:p>
      <w:pPr>
        <w:pStyle w:val="Body A"/>
        <w:tabs>
          <w:tab w:val="left" w:pos="360"/>
        </w:tabs>
        <w:rPr>
          <w:rFonts w:ascii="Arial" w:cs="Arial" w:hAnsi="Arial" w:eastAsia="Arial"/>
          <w:sz w:val="24"/>
          <w:szCs w:val="24"/>
          <w:lang w:val="en-US"/>
        </w:rPr>
      </w:pPr>
      <w:r>
        <w:rPr>
          <w:rFonts w:ascii="Arial" w:hAnsi="Arial"/>
          <w:sz w:val="24"/>
          <w:szCs w:val="24"/>
          <w:rtl w:val="0"/>
          <w:lang w:val="en-US"/>
        </w:rPr>
        <w:t xml:space="preserve">       </w:t>
      </w:r>
      <w:r>
        <w:rPr>
          <w:rFonts w:ascii="Arial" w:hAnsi="Arial"/>
          <w:sz w:val="24"/>
          <w:szCs w:val="24"/>
          <w:rtl w:val="0"/>
          <w:lang w:val="en-US"/>
        </w:rPr>
        <w:t xml:space="preserve">have not been approved by the appropriate body.  These meeting typically occur </w:t>
      </w:r>
    </w:p>
    <w:p>
      <w:pPr>
        <w:pStyle w:val="Body A"/>
        <w:tabs>
          <w:tab w:val="left" w:pos="360"/>
        </w:tabs>
        <w:rPr>
          <w:rFonts w:ascii="Arial" w:cs="Arial" w:hAnsi="Arial" w:eastAsia="Arial"/>
          <w:sz w:val="24"/>
          <w:szCs w:val="24"/>
          <w:lang w:val="en-US"/>
        </w:rPr>
      </w:pPr>
      <w:r>
        <w:rPr>
          <w:rFonts w:ascii="Arial" w:hAnsi="Arial"/>
          <w:sz w:val="24"/>
          <w:szCs w:val="24"/>
          <w:rtl w:val="0"/>
          <w:lang w:val="en-US"/>
        </w:rPr>
        <w:t xml:space="preserve">       </w:t>
      </w:r>
      <w:r>
        <w:rPr>
          <w:rFonts w:ascii="Arial" w:hAnsi="Arial"/>
          <w:sz w:val="24"/>
          <w:szCs w:val="24"/>
          <w:rtl w:val="0"/>
          <w:lang w:val="en-US"/>
        </w:rPr>
        <w:t xml:space="preserve">once per year. As such, the latest approved Association minutes are for the annual </w:t>
      </w:r>
    </w:p>
    <w:p>
      <w:pPr>
        <w:pStyle w:val="Body A"/>
        <w:tabs>
          <w:tab w:val="left" w:pos="360"/>
        </w:tabs>
        <w:rPr>
          <w:rFonts w:ascii="Arial" w:cs="Arial" w:hAnsi="Arial" w:eastAsia="Arial"/>
          <w:sz w:val="24"/>
          <w:szCs w:val="24"/>
        </w:rPr>
      </w:pPr>
      <w:r>
        <w:rPr>
          <w:rFonts w:ascii="Arial" w:hAnsi="Arial"/>
          <w:sz w:val="24"/>
          <w:szCs w:val="24"/>
          <w:rtl w:val="0"/>
          <w:lang w:val="en-US"/>
        </w:rPr>
        <w:t xml:space="preserve">       </w:t>
      </w:r>
      <w:r>
        <w:rPr>
          <w:rFonts w:ascii="Arial" w:hAnsi="Arial"/>
          <w:sz w:val="24"/>
          <w:szCs w:val="24"/>
          <w:rtl w:val="0"/>
          <w:lang w:val="en-US"/>
        </w:rPr>
        <w:t>meeting of June 2017.</w:t>
      </w:r>
      <w:r>
        <w:rPr>
          <w:rFonts w:ascii="Arial" w:hAnsi="Arial"/>
          <w:sz w:val="24"/>
          <w:szCs w:val="24"/>
          <w:rtl w:val="0"/>
          <w:lang w:val="en-US"/>
        </w:rPr>
        <w:t xml:space="preserve"> A copy is available from the Secretary.</w:t>
      </w:r>
      <w:r>
        <w:rPr>
          <w:rFonts w:ascii="Arial Unicode MS" w:cs="Arial Unicode MS" w:hAnsi="Arial Unicode MS" w:eastAsia="Arial Unicode MS"/>
          <w:sz w:val="24"/>
          <w:szCs w:val="24"/>
        </w:rPr>
        <w:br w:type="textWrapping"/>
      </w:r>
    </w:p>
    <w:p>
      <w:pPr>
        <w:pStyle w:val="Body A"/>
        <w:tabs>
          <w:tab w:val="left" w:pos="360"/>
        </w:tabs>
        <w:rPr>
          <w:rFonts w:ascii="Arial" w:cs="Arial" w:hAnsi="Arial" w:eastAsia="Arial"/>
          <w:sz w:val="24"/>
          <w:szCs w:val="24"/>
        </w:rPr>
      </w:pPr>
    </w:p>
    <w:p>
      <w:pPr>
        <w:pStyle w:val="Body A"/>
        <w:tabs>
          <w:tab w:val="left" w:pos="360"/>
        </w:tabs>
        <w:rPr>
          <w:rFonts w:ascii="Arial" w:cs="Arial" w:hAnsi="Arial" w:eastAsia="Arial"/>
          <w:sz w:val="24"/>
          <w:szCs w:val="24"/>
          <w:lang w:val="en-US"/>
        </w:rPr>
      </w:pPr>
      <w:r>
        <w:rPr>
          <w:rFonts w:ascii="Arial" w:hAnsi="Arial"/>
          <w:sz w:val="24"/>
          <w:szCs w:val="24"/>
          <w:rtl w:val="0"/>
          <w:lang w:val="en-US"/>
        </w:rPr>
        <w:t xml:space="preserve">14.  </w:t>
      </w:r>
      <w:r>
        <w:rPr>
          <w:rFonts w:ascii="Arial" w:hAnsi="Arial"/>
          <w:sz w:val="24"/>
          <w:szCs w:val="24"/>
          <w:rtl w:val="0"/>
          <w:lang w:val="en-US"/>
        </w:rPr>
        <w:t xml:space="preserve">The Board of Directors of the Runnymede Property Owners Association, as </w:t>
      </w:r>
      <w:r>
        <w:rPr>
          <w:rFonts w:ascii="Arial" w:hAnsi="Arial"/>
          <w:sz w:val="24"/>
          <w:szCs w:val="24"/>
          <w:rtl w:val="0"/>
          <w:lang w:val="en-US"/>
        </w:rPr>
        <w:t xml:space="preserve"> </w:t>
      </w:r>
    </w:p>
    <w:p>
      <w:pPr>
        <w:pStyle w:val="Body A"/>
        <w:tabs>
          <w:tab w:val="left" w:pos="360"/>
        </w:tabs>
        <w:rPr>
          <w:rFonts w:ascii="Arial" w:cs="Arial" w:hAnsi="Arial" w:eastAsia="Arial"/>
          <w:sz w:val="24"/>
          <w:szCs w:val="24"/>
          <w:lang w:val="en-US"/>
        </w:rPr>
      </w:pPr>
      <w:r>
        <w:rPr>
          <w:rFonts w:ascii="Arial" w:hAnsi="Arial"/>
          <w:sz w:val="24"/>
          <w:szCs w:val="24"/>
          <w:rtl w:val="0"/>
          <w:lang w:val="en-US"/>
        </w:rPr>
        <w:t xml:space="preserve">        </w:t>
      </w:r>
      <w:r>
        <w:rPr>
          <w:rFonts w:ascii="Arial" w:hAnsi="Arial"/>
          <w:sz w:val="24"/>
          <w:szCs w:val="24"/>
          <w:rtl w:val="0"/>
          <w:lang w:val="en-US"/>
        </w:rPr>
        <w:t>modified at the June 2018 Annual Meeting are listed below.</w:t>
      </w:r>
    </w:p>
    <w:p>
      <w:pPr>
        <w:pStyle w:val="Body A"/>
        <w:tabs>
          <w:tab w:val="left" w:pos="360"/>
        </w:tabs>
        <w:rPr>
          <w:rFonts w:ascii="Arial" w:cs="Arial" w:hAnsi="Arial" w:eastAsia="Arial"/>
          <w:sz w:val="24"/>
          <w:szCs w:val="24"/>
          <w:lang w:val="en-US"/>
        </w:rPr>
      </w:pPr>
    </w:p>
    <w:p>
      <w:pPr>
        <w:pStyle w:val="Body A"/>
        <w:tabs>
          <w:tab w:val="left" w:pos="360"/>
        </w:tabs>
        <w:ind w:left="720" w:firstLine="0"/>
        <w:rPr>
          <w:sz w:val="24"/>
          <w:szCs w:val="24"/>
        </w:rPr>
      </w:pPr>
    </w:p>
    <w:p>
      <w:pPr>
        <w:pStyle w:val="Body A"/>
        <w:tabs>
          <w:tab w:val="left" w:pos="360"/>
        </w:tabs>
        <w:ind w:left="720" w:firstLine="0"/>
        <w:rPr>
          <w:rFonts w:ascii="Arial" w:cs="Arial" w:hAnsi="Arial" w:eastAsia="Arial"/>
          <w:sz w:val="24"/>
          <w:szCs w:val="24"/>
        </w:rPr>
      </w:pPr>
      <w:r>
        <w:rPr>
          <w:rFonts w:ascii="Arial" w:hAnsi="Arial"/>
          <w:sz w:val="24"/>
          <w:szCs w:val="24"/>
          <w:rtl w:val="0"/>
          <w:lang w:val="en-US"/>
        </w:rPr>
        <w:t>Cal Whitehead</w:t>
      </w:r>
      <w:r>
        <w:rPr>
          <w:rFonts w:ascii="Arial" w:hAnsi="Arial"/>
          <w:sz w:val="24"/>
          <w:szCs w:val="24"/>
          <w:rtl w:val="0"/>
          <w:lang w:val="it-IT"/>
        </w:rPr>
        <w:t>, President</w:t>
      </w:r>
    </w:p>
    <w:p>
      <w:pPr>
        <w:pStyle w:val="Body A"/>
        <w:tabs>
          <w:tab w:val="left" w:pos="360"/>
        </w:tabs>
        <w:ind w:left="720" w:firstLine="0"/>
        <w:rPr>
          <w:rFonts w:ascii="Arial" w:cs="Arial" w:hAnsi="Arial" w:eastAsia="Arial"/>
          <w:sz w:val="24"/>
          <w:szCs w:val="24"/>
        </w:rPr>
      </w:pPr>
      <w:r>
        <w:rPr>
          <w:rFonts w:ascii="Arial" w:hAnsi="Arial"/>
          <w:sz w:val="24"/>
          <w:szCs w:val="24"/>
          <w:rtl w:val="0"/>
          <w:lang w:val="en-US"/>
        </w:rPr>
        <w:t>Earl Mielke</w:t>
      </w:r>
      <w:r>
        <w:rPr>
          <w:rFonts w:ascii="Arial" w:hAnsi="Arial"/>
          <w:sz w:val="24"/>
          <w:szCs w:val="24"/>
          <w:rtl w:val="0"/>
          <w:lang w:val="it-IT"/>
        </w:rPr>
        <w:t>, Vice President</w:t>
      </w:r>
    </w:p>
    <w:p>
      <w:pPr>
        <w:pStyle w:val="Body A"/>
        <w:tabs>
          <w:tab w:val="left" w:pos="360"/>
        </w:tabs>
        <w:ind w:left="720" w:firstLine="0"/>
        <w:rPr>
          <w:rFonts w:ascii="Arial" w:cs="Arial" w:hAnsi="Arial" w:eastAsia="Arial"/>
          <w:sz w:val="24"/>
          <w:szCs w:val="24"/>
          <w:lang w:val="en-US"/>
        </w:rPr>
      </w:pPr>
      <w:r>
        <w:rPr>
          <w:rFonts w:ascii="Arial" w:hAnsi="Arial"/>
          <w:sz w:val="24"/>
          <w:szCs w:val="24"/>
          <w:rtl w:val="0"/>
          <w:lang w:val="en-US"/>
        </w:rPr>
        <w:t>David Smith, Treasurer</w:t>
      </w:r>
    </w:p>
    <w:p>
      <w:pPr>
        <w:pStyle w:val="Body A"/>
        <w:tabs>
          <w:tab w:val="left" w:pos="360"/>
        </w:tabs>
        <w:ind w:left="720" w:firstLine="0"/>
        <w:rPr>
          <w:rFonts w:ascii="Arial" w:cs="Arial" w:hAnsi="Arial" w:eastAsia="Arial"/>
          <w:sz w:val="24"/>
          <w:szCs w:val="24"/>
          <w:lang w:val="en-US"/>
        </w:rPr>
      </w:pPr>
      <w:r>
        <w:rPr>
          <w:rFonts w:ascii="Arial" w:hAnsi="Arial"/>
          <w:sz w:val="24"/>
          <w:szCs w:val="24"/>
          <w:rtl w:val="0"/>
          <w:lang w:val="en-US"/>
        </w:rPr>
        <w:t>Donna Kirley, Secretary</w:t>
      </w:r>
    </w:p>
    <w:p>
      <w:pPr>
        <w:pStyle w:val="Body A"/>
        <w:tabs>
          <w:tab w:val="left" w:pos="360"/>
        </w:tabs>
        <w:ind w:left="720" w:firstLine="0"/>
        <w:rPr>
          <w:rFonts w:ascii="Arial" w:cs="Arial" w:hAnsi="Arial" w:eastAsia="Arial"/>
          <w:sz w:val="24"/>
          <w:szCs w:val="24"/>
          <w:lang w:val="en-US"/>
        </w:rPr>
      </w:pPr>
      <w:r>
        <w:rPr>
          <w:rFonts w:ascii="Arial" w:hAnsi="Arial"/>
          <w:sz w:val="24"/>
          <w:szCs w:val="24"/>
          <w:rtl w:val="0"/>
          <w:lang w:val="en-US"/>
        </w:rPr>
        <w:t>Dawn Daniel,  Architectural Control Committee</w:t>
      </w:r>
      <w:r>
        <w:rPr>
          <w:rFonts w:ascii="Arial" w:hAnsi="Arial"/>
          <w:sz w:val="24"/>
          <w:szCs w:val="24"/>
          <w:rtl w:val="0"/>
          <w:lang w:val="en-US"/>
        </w:rPr>
        <w:t xml:space="preserve"> Chair</w:t>
      </w:r>
    </w:p>
    <w:p>
      <w:pPr>
        <w:pStyle w:val="Body A"/>
        <w:tabs>
          <w:tab w:val="left" w:pos="360"/>
        </w:tabs>
        <w:ind w:left="720" w:firstLine="0"/>
        <w:rPr>
          <w:rFonts w:ascii="Arial" w:cs="Arial" w:hAnsi="Arial" w:eastAsia="Arial"/>
          <w:sz w:val="24"/>
          <w:szCs w:val="24"/>
          <w:lang w:val="en-US"/>
        </w:rPr>
      </w:pPr>
      <w:r>
        <w:rPr>
          <w:rFonts w:ascii="Arial" w:hAnsi="Arial"/>
          <w:sz w:val="24"/>
          <w:szCs w:val="24"/>
          <w:rtl w:val="0"/>
          <w:lang w:val="en-US"/>
        </w:rPr>
        <w:t>C</w:t>
      </w:r>
      <w:r>
        <w:rPr>
          <w:rFonts w:ascii="Arial" w:hAnsi="Arial"/>
          <w:sz w:val="24"/>
          <w:szCs w:val="24"/>
          <w:rtl w:val="0"/>
          <w:lang w:val="en-US"/>
        </w:rPr>
        <w:t>athy Hall, Common Property Committee</w:t>
      </w:r>
      <w:r>
        <w:rPr>
          <w:rFonts w:ascii="Arial" w:hAnsi="Arial"/>
          <w:sz w:val="24"/>
          <w:szCs w:val="24"/>
          <w:rtl w:val="0"/>
          <w:lang w:val="en-US"/>
        </w:rPr>
        <w:t xml:space="preserve"> Chair</w:t>
      </w:r>
    </w:p>
    <w:p>
      <w:pPr>
        <w:pStyle w:val="Body A"/>
        <w:tabs>
          <w:tab w:val="left" w:pos="360"/>
        </w:tabs>
        <w:rPr>
          <w:rFonts w:ascii="Arial" w:cs="Arial" w:hAnsi="Arial" w:eastAsia="Arial"/>
          <w:sz w:val="24"/>
          <w:szCs w:val="24"/>
          <w:lang w:val="en-US"/>
        </w:rPr>
      </w:pPr>
    </w:p>
    <w:p>
      <w:pPr>
        <w:pStyle w:val="Body A"/>
        <w:bidi w:val="0"/>
        <w:ind w:left="0" w:right="0" w:firstLine="0"/>
        <w:jc w:val="left"/>
        <w:rPr>
          <w:rFonts w:ascii="Arial" w:cs="Arial" w:hAnsi="Arial" w:eastAsia="Arial"/>
          <w:sz w:val="24"/>
          <w:szCs w:val="24"/>
          <w:rtl w:val="0"/>
          <w:lang w:val="en-US"/>
        </w:rPr>
      </w:pPr>
    </w:p>
    <w:p>
      <w:pPr>
        <w:pStyle w:val="Body A"/>
        <w:tabs>
          <w:tab w:val="left" w:pos="360"/>
        </w:tabs>
        <w:ind w:left="720" w:firstLine="0"/>
        <w:rPr>
          <w:sz w:val="24"/>
          <w:szCs w:val="24"/>
        </w:rPr>
      </w:pPr>
    </w:p>
    <w:p>
      <w:pPr>
        <w:pStyle w:val="Body A"/>
        <w:tabs>
          <w:tab w:val="left" w:pos="360"/>
        </w:tabs>
        <w:ind w:left="720" w:firstLine="0"/>
        <w:rPr>
          <w:rFonts w:ascii="Arial" w:cs="Arial" w:hAnsi="Arial" w:eastAsia="Arial"/>
          <w:sz w:val="24"/>
          <w:szCs w:val="24"/>
        </w:rPr>
      </w:pPr>
    </w:p>
    <w:p>
      <w:pPr>
        <w:pStyle w:val="Body A"/>
        <w:tabs>
          <w:tab w:val="left" w:pos="360"/>
        </w:tabs>
        <w:ind w:left="720" w:firstLine="0"/>
        <w:rPr>
          <w:rFonts w:ascii="Arial" w:cs="Arial" w:hAnsi="Arial" w:eastAsia="Arial"/>
          <w:sz w:val="24"/>
          <w:szCs w:val="24"/>
        </w:rPr>
      </w:pPr>
    </w:p>
    <w:p>
      <w:pPr>
        <w:pStyle w:val="Body A"/>
        <w:tabs>
          <w:tab w:val="left" w:pos="360"/>
        </w:tabs>
        <w:ind w:left="720" w:firstLine="0"/>
        <w:rPr>
          <w:rFonts w:ascii="Arial" w:cs="Arial" w:hAnsi="Arial" w:eastAsia="Arial"/>
          <w:sz w:val="24"/>
          <w:szCs w:val="24"/>
          <w:lang w:val="en-US"/>
        </w:rPr>
      </w:pPr>
    </w:p>
    <w:p>
      <w:pPr>
        <w:pStyle w:val="Body A"/>
        <w:tabs>
          <w:tab w:val="left" w:pos="360"/>
        </w:tabs>
        <w:ind w:left="720" w:firstLine="0"/>
        <w:rPr>
          <w:rFonts w:ascii="Arial" w:cs="Arial" w:hAnsi="Arial" w:eastAsia="Arial"/>
          <w:sz w:val="24"/>
          <w:szCs w:val="24"/>
          <w:lang w:val="en-US"/>
        </w:rPr>
      </w:pPr>
    </w:p>
    <w:p>
      <w:pPr>
        <w:pStyle w:val="Body A"/>
        <w:tabs>
          <w:tab w:val="left" w:pos="360"/>
        </w:tabs>
        <w:ind w:left="720" w:firstLine="0"/>
      </w:pPr>
      <w:r>
        <w:rPr>
          <w:rFonts w:ascii="Arial" w:cs="Arial" w:hAnsi="Arial" w:eastAsia="Arial"/>
          <w:sz w:val="24"/>
          <w:szCs w:val="24"/>
          <w:lang w:val="en-US"/>
        </w:rPr>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6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6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64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99"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22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94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659"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8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10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819" w:hanging="70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