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4E5A" w14:textId="77777777" w:rsidR="000F6712" w:rsidRDefault="000F6712" w:rsidP="00665C6B">
      <w:pPr>
        <w:pStyle w:val="Title"/>
        <w:ind w:left="0"/>
        <w:jc w:val="left"/>
      </w:pPr>
    </w:p>
    <w:p w14:paraId="21EADA9E" w14:textId="77777777" w:rsidR="000F6712" w:rsidRPr="00275859" w:rsidRDefault="000F6712" w:rsidP="00275859">
      <w:pPr>
        <w:pStyle w:val="Title"/>
        <w:ind w:left="0"/>
      </w:pPr>
      <w:r>
        <w:t>MARYLAND RESIDENTIAL PROPERTY DISCLOSURE AND DISCLAIMER STATEMENT</w:t>
      </w:r>
    </w:p>
    <w:p w14:paraId="49D1A60E" w14:textId="0A18D2C4" w:rsidR="00FE42B0" w:rsidRDefault="000F6712" w:rsidP="00FE42B0">
      <w:pPr>
        <w:pStyle w:val="BodyTextIndent"/>
        <w:pBdr>
          <w:top w:val="single" w:sz="4" w:space="0" w:color="auto"/>
          <w:left w:val="single" w:sz="4" w:space="0" w:color="auto"/>
          <w:bottom w:val="single" w:sz="4" w:space="1" w:color="auto"/>
          <w:right w:val="single" w:sz="4" w:space="0" w:color="auto"/>
        </w:pBdr>
        <w:spacing w:after="0"/>
        <w:ind w:left="720" w:right="630"/>
        <w:jc w:val="center"/>
        <w:rPr>
          <w:b/>
          <w:u w:val="single"/>
        </w:rPr>
      </w:pPr>
      <w:r w:rsidRPr="006E225C">
        <w:rPr>
          <w:u w:val="single"/>
        </w:rPr>
        <w:t>Property Address:</w:t>
      </w:r>
      <w:r w:rsidRPr="006E225C">
        <w:rPr>
          <w:b/>
          <w:u w:val="single"/>
        </w:rPr>
        <w:t xml:space="preserve"> </w:t>
      </w:r>
      <w:r w:rsidR="001B66A5">
        <w:rPr>
          <w:b/>
          <w:u w:val="single"/>
        </w:rPr>
        <w:t>324 Clyde Court, Abingdon, MD 21009</w:t>
      </w:r>
    </w:p>
    <w:p w14:paraId="0ADC4BF1" w14:textId="77777777" w:rsidR="000F6712" w:rsidRDefault="000F6712" w:rsidP="000F6712">
      <w:pPr>
        <w:jc w:val="center"/>
        <w:rPr>
          <w:sz w:val="20"/>
        </w:rPr>
      </w:pPr>
      <w:r>
        <w:rPr>
          <w:sz w:val="20"/>
        </w:rPr>
        <w:t>NOTICE TO SELLER AND PURCHASER</w:t>
      </w:r>
    </w:p>
    <w:p w14:paraId="405A22C2" w14:textId="77777777" w:rsidR="000F6712" w:rsidRDefault="000F6712" w:rsidP="000F6712">
      <w:pPr>
        <w:ind w:left="-720"/>
        <w:rPr>
          <w:sz w:val="20"/>
        </w:rPr>
      </w:pPr>
    </w:p>
    <w:p w14:paraId="5CF44DE2" w14:textId="77777777" w:rsidR="000F6712" w:rsidRDefault="000F6712" w:rsidP="000F6712">
      <w:pPr>
        <w:ind w:left="720"/>
        <w:rPr>
          <w:sz w:val="20"/>
        </w:rPr>
      </w:pPr>
      <w:r>
        <w:rPr>
          <w:sz w:val="20"/>
        </w:rPr>
        <w:t xml:space="preserve">Section 10-702 of the Real Property Article, </w:t>
      </w:r>
      <w:r>
        <w:rPr>
          <w:i/>
          <w:sz w:val="20"/>
        </w:rPr>
        <w:t>Annotated Code of Maryland</w:t>
      </w:r>
      <w:r>
        <w:rPr>
          <w:sz w:val="20"/>
        </w:rPr>
        <w:t>, requires the owner of certain residential real property to furnish to the purchaser either (a) a RESIDENTIAL PROPERTY DISCLAIMER STATEMENT stating that the owner is selling the property "as is" and makes no representations or warranties as to the condition of the property or any improvements on the real property, except as otherwise provided in the contract of sale, or in a listing of latent defects;  or (b) a RESIDENTIAL PROPERTY DISCLOSURE STATEMENT disclosing defects or other information about the condition of the real property actually known by the owner.  Certain transfers of residential property are excluded from this requirement (see the exemptions listed below).</w:t>
      </w:r>
    </w:p>
    <w:p w14:paraId="235CB60A" w14:textId="77777777" w:rsidR="000F6712" w:rsidRDefault="000F6712" w:rsidP="000F6712">
      <w:pPr>
        <w:rPr>
          <w:sz w:val="20"/>
        </w:rPr>
      </w:pPr>
    </w:p>
    <w:p w14:paraId="36C0566E" w14:textId="77777777" w:rsidR="000F6712" w:rsidRDefault="000F6712" w:rsidP="000F6712">
      <w:pPr>
        <w:ind w:left="1440"/>
        <w:rPr>
          <w:sz w:val="20"/>
        </w:rPr>
      </w:pPr>
      <w:r>
        <w:rPr>
          <w:sz w:val="20"/>
        </w:rPr>
        <w:t xml:space="preserve">10-702. EXEMPTIONS. The following are specifically </w:t>
      </w:r>
      <w:r>
        <w:rPr>
          <w:sz w:val="20"/>
          <w:u w:val="single"/>
        </w:rPr>
        <w:t xml:space="preserve">excluded </w:t>
      </w:r>
      <w:r>
        <w:rPr>
          <w:sz w:val="20"/>
        </w:rPr>
        <w:t>from the provisions of §10-702:</w:t>
      </w:r>
    </w:p>
    <w:p w14:paraId="0BC087AA" w14:textId="77777777" w:rsidR="000F6712" w:rsidRDefault="000F6712" w:rsidP="000F6712">
      <w:pPr>
        <w:ind w:left="1440"/>
        <w:rPr>
          <w:sz w:val="20"/>
        </w:rPr>
      </w:pPr>
    </w:p>
    <w:p w14:paraId="74214618" w14:textId="77777777" w:rsidR="000F6712" w:rsidRDefault="000F6712" w:rsidP="000F6712">
      <w:pPr>
        <w:numPr>
          <w:ilvl w:val="0"/>
          <w:numId w:val="1"/>
        </w:numPr>
        <w:tabs>
          <w:tab w:val="clear" w:pos="-360"/>
          <w:tab w:val="num" w:pos="1440"/>
        </w:tabs>
        <w:ind w:left="1440"/>
        <w:rPr>
          <w:sz w:val="20"/>
        </w:rPr>
      </w:pPr>
      <w:r>
        <w:rPr>
          <w:sz w:val="20"/>
        </w:rPr>
        <w:t>The initial sale of single family residential real property:</w:t>
      </w:r>
    </w:p>
    <w:p w14:paraId="3B8AEF8B" w14:textId="77777777" w:rsidR="000F6712" w:rsidRDefault="000F6712" w:rsidP="000F6712">
      <w:pPr>
        <w:numPr>
          <w:ilvl w:val="1"/>
          <w:numId w:val="1"/>
        </w:numPr>
        <w:tabs>
          <w:tab w:val="clear" w:pos="360"/>
          <w:tab w:val="num" w:pos="2160"/>
        </w:tabs>
        <w:ind w:left="2160"/>
        <w:rPr>
          <w:sz w:val="20"/>
        </w:rPr>
      </w:pPr>
      <w:r>
        <w:rPr>
          <w:sz w:val="20"/>
        </w:rPr>
        <w:t>that has never been occupied; or</w:t>
      </w:r>
    </w:p>
    <w:p w14:paraId="5C1485D4" w14:textId="77777777" w:rsidR="000F6712" w:rsidRDefault="000F6712" w:rsidP="000F6712">
      <w:pPr>
        <w:numPr>
          <w:ilvl w:val="1"/>
          <w:numId w:val="1"/>
        </w:numPr>
        <w:tabs>
          <w:tab w:val="clear" w:pos="360"/>
          <w:tab w:val="num" w:pos="2160"/>
        </w:tabs>
        <w:ind w:left="2160"/>
        <w:rPr>
          <w:sz w:val="20"/>
        </w:rPr>
      </w:pPr>
      <w:r>
        <w:rPr>
          <w:sz w:val="20"/>
        </w:rPr>
        <w:t xml:space="preserve">for which a certificate of occupancy has been issued within 1 year before the seller and buyer enter into a contract of </w:t>
      </w:r>
      <w:proofErr w:type="gramStart"/>
      <w:r>
        <w:rPr>
          <w:sz w:val="20"/>
        </w:rPr>
        <w:t>sale;</w:t>
      </w:r>
      <w:proofErr w:type="gramEnd"/>
      <w:r>
        <w:rPr>
          <w:sz w:val="20"/>
        </w:rPr>
        <w:t xml:space="preserve"> </w:t>
      </w:r>
    </w:p>
    <w:p w14:paraId="1A5F0A28" w14:textId="77777777" w:rsidR="000F6712" w:rsidRDefault="000F6712" w:rsidP="000F6712">
      <w:pPr>
        <w:numPr>
          <w:ilvl w:val="0"/>
          <w:numId w:val="1"/>
        </w:numPr>
        <w:tabs>
          <w:tab w:val="clear" w:pos="-360"/>
          <w:tab w:val="num" w:pos="1440"/>
        </w:tabs>
        <w:ind w:left="1440"/>
        <w:rPr>
          <w:sz w:val="20"/>
        </w:rPr>
      </w:pPr>
      <w:r>
        <w:rPr>
          <w:sz w:val="20"/>
        </w:rPr>
        <w:t xml:space="preserve">A transfer that is exempt from the transfer tax under §13-207 of the Tax-Property Article, except land installment contracts of sales under §13-207(a) (11) of the Tax-Property Article and options to purchase real property under §13-207(a)(12) of the Tax-Property </w:t>
      </w:r>
      <w:proofErr w:type="gramStart"/>
      <w:r>
        <w:rPr>
          <w:sz w:val="20"/>
        </w:rPr>
        <w:t>Article;</w:t>
      </w:r>
      <w:proofErr w:type="gramEnd"/>
    </w:p>
    <w:p w14:paraId="4B1568D6" w14:textId="77777777" w:rsidR="000F6712" w:rsidRDefault="000F6712" w:rsidP="000F6712">
      <w:pPr>
        <w:numPr>
          <w:ilvl w:val="0"/>
          <w:numId w:val="1"/>
        </w:numPr>
        <w:tabs>
          <w:tab w:val="clear" w:pos="-360"/>
          <w:tab w:val="num" w:pos="1440"/>
        </w:tabs>
        <w:ind w:left="1440"/>
        <w:rPr>
          <w:sz w:val="20"/>
        </w:rPr>
      </w:pPr>
      <w:r>
        <w:rPr>
          <w:sz w:val="20"/>
        </w:rPr>
        <w:t xml:space="preserve">A sale by a lender or an affiliate or subsidiary of a lender that acquired the real property by foreclosure or deed in lieu of </w:t>
      </w:r>
      <w:proofErr w:type="gramStart"/>
      <w:r>
        <w:rPr>
          <w:sz w:val="20"/>
        </w:rPr>
        <w:t>foreclosure;</w:t>
      </w:r>
      <w:proofErr w:type="gramEnd"/>
    </w:p>
    <w:p w14:paraId="0F63BE73" w14:textId="77777777" w:rsidR="000F6712" w:rsidRDefault="000F6712" w:rsidP="000F6712">
      <w:pPr>
        <w:numPr>
          <w:ilvl w:val="0"/>
          <w:numId w:val="1"/>
        </w:numPr>
        <w:tabs>
          <w:tab w:val="clear" w:pos="-360"/>
          <w:tab w:val="num" w:pos="1440"/>
        </w:tabs>
        <w:ind w:left="1440"/>
        <w:rPr>
          <w:sz w:val="20"/>
        </w:rPr>
      </w:pPr>
      <w:r>
        <w:rPr>
          <w:sz w:val="20"/>
        </w:rPr>
        <w:t xml:space="preserve">A sheriff’s sale, tax sale, or sale by foreclosure, partition, or by court appointed </w:t>
      </w:r>
      <w:proofErr w:type="gramStart"/>
      <w:r>
        <w:rPr>
          <w:sz w:val="20"/>
        </w:rPr>
        <w:t>trustee;</w:t>
      </w:r>
      <w:proofErr w:type="gramEnd"/>
    </w:p>
    <w:p w14:paraId="008DFA0D" w14:textId="77777777" w:rsidR="000F6712" w:rsidRDefault="000F6712" w:rsidP="000F6712">
      <w:pPr>
        <w:numPr>
          <w:ilvl w:val="0"/>
          <w:numId w:val="1"/>
        </w:numPr>
        <w:tabs>
          <w:tab w:val="clear" w:pos="-360"/>
          <w:tab w:val="num" w:pos="1440"/>
        </w:tabs>
        <w:ind w:left="1440"/>
        <w:rPr>
          <w:sz w:val="20"/>
        </w:rPr>
      </w:pPr>
      <w:r>
        <w:rPr>
          <w:sz w:val="20"/>
        </w:rPr>
        <w:t xml:space="preserve">A transfer by a fiduciary in the course of the administration of a decedent’s estate, guardianship, conservatorship, or </w:t>
      </w:r>
      <w:proofErr w:type="gramStart"/>
      <w:r>
        <w:rPr>
          <w:sz w:val="20"/>
        </w:rPr>
        <w:t>trust;</w:t>
      </w:r>
      <w:proofErr w:type="gramEnd"/>
      <w:r>
        <w:rPr>
          <w:sz w:val="20"/>
        </w:rPr>
        <w:t xml:space="preserve"> </w:t>
      </w:r>
    </w:p>
    <w:p w14:paraId="61BE8802" w14:textId="77777777" w:rsidR="000F6712" w:rsidRDefault="000F6712" w:rsidP="000F6712">
      <w:pPr>
        <w:numPr>
          <w:ilvl w:val="0"/>
          <w:numId w:val="1"/>
        </w:numPr>
        <w:tabs>
          <w:tab w:val="clear" w:pos="-360"/>
          <w:tab w:val="num" w:pos="1440"/>
        </w:tabs>
        <w:ind w:left="1440"/>
        <w:rPr>
          <w:sz w:val="20"/>
        </w:rPr>
      </w:pPr>
      <w:r>
        <w:rPr>
          <w:sz w:val="20"/>
        </w:rPr>
        <w:t xml:space="preserve">A transfer of </w:t>
      </w:r>
      <w:r w:rsidR="00A254FC">
        <w:rPr>
          <w:sz w:val="20"/>
        </w:rPr>
        <w:t xml:space="preserve">single family residential real </w:t>
      </w:r>
      <w:r>
        <w:rPr>
          <w:sz w:val="20"/>
        </w:rPr>
        <w:t>property to be converted by the buyer into use other than residential use or to be demolished; or</w:t>
      </w:r>
    </w:p>
    <w:p w14:paraId="657492E9" w14:textId="77777777" w:rsidR="000F6712" w:rsidRDefault="000F6712" w:rsidP="000F6712">
      <w:pPr>
        <w:numPr>
          <w:ilvl w:val="0"/>
          <w:numId w:val="1"/>
        </w:numPr>
        <w:tabs>
          <w:tab w:val="clear" w:pos="-360"/>
          <w:tab w:val="num" w:pos="1440"/>
        </w:tabs>
        <w:ind w:left="1440"/>
        <w:rPr>
          <w:sz w:val="20"/>
        </w:rPr>
      </w:pPr>
      <w:r>
        <w:rPr>
          <w:sz w:val="20"/>
        </w:rPr>
        <w:t>A sale of unimproved real property.</w:t>
      </w:r>
    </w:p>
    <w:p w14:paraId="4434E650" w14:textId="77777777" w:rsidR="000F6712" w:rsidRDefault="000F6712" w:rsidP="000F6712">
      <w:pPr>
        <w:rPr>
          <w:sz w:val="20"/>
        </w:rPr>
      </w:pPr>
    </w:p>
    <w:p w14:paraId="3C745398" w14:textId="77777777" w:rsidR="000F6712" w:rsidRDefault="000F6712" w:rsidP="000F6712">
      <w:pPr>
        <w:rPr>
          <w:sz w:val="20"/>
        </w:rPr>
      </w:pPr>
      <w:r>
        <w:rPr>
          <w:sz w:val="20"/>
        </w:rPr>
        <w:tab/>
        <w:t xml:space="preserve">Section 10-702 also requires the owner to disclose information about latent defects in the property that the owner has actual knowledge of.  The owner must provide this information even if selling the property “as is.”  “Latent defects” are </w:t>
      </w:r>
      <w:proofErr w:type="gramStart"/>
      <w:r>
        <w:rPr>
          <w:sz w:val="20"/>
        </w:rPr>
        <w:t>defined</w:t>
      </w:r>
      <w:proofErr w:type="gramEnd"/>
      <w:r>
        <w:rPr>
          <w:sz w:val="20"/>
        </w:rPr>
        <w:t xml:space="preserve"> </w:t>
      </w:r>
    </w:p>
    <w:p w14:paraId="55B7C177" w14:textId="77777777" w:rsidR="000F6712" w:rsidRDefault="000F6712" w:rsidP="000F6712">
      <w:pPr>
        <w:rPr>
          <w:sz w:val="20"/>
        </w:rPr>
      </w:pPr>
      <w:r>
        <w:rPr>
          <w:sz w:val="20"/>
        </w:rPr>
        <w:t>as:  Material defects in real property or an improvement to real property that:</w:t>
      </w:r>
    </w:p>
    <w:p w14:paraId="0585C481" w14:textId="77777777" w:rsidR="000F6712" w:rsidRDefault="000F6712" w:rsidP="000F6712">
      <w:pPr>
        <w:rPr>
          <w:sz w:val="20"/>
        </w:rPr>
      </w:pPr>
    </w:p>
    <w:p w14:paraId="77D04D45" w14:textId="77777777" w:rsidR="000F6712" w:rsidRDefault="000F6712" w:rsidP="000F6712">
      <w:pPr>
        <w:numPr>
          <w:ilvl w:val="0"/>
          <w:numId w:val="2"/>
        </w:numPr>
        <w:rPr>
          <w:sz w:val="20"/>
        </w:rPr>
      </w:pPr>
      <w:r>
        <w:rPr>
          <w:sz w:val="20"/>
        </w:rPr>
        <w:t>A purchaser would not reasonably be expected to ascertain or observe by a careful visual inspection of the real property; and</w:t>
      </w:r>
    </w:p>
    <w:p w14:paraId="0D314A0E" w14:textId="77777777" w:rsidR="000F6712" w:rsidRDefault="000F6712" w:rsidP="000F6712">
      <w:pPr>
        <w:numPr>
          <w:ilvl w:val="0"/>
          <w:numId w:val="2"/>
        </w:numPr>
        <w:rPr>
          <w:sz w:val="20"/>
        </w:rPr>
      </w:pPr>
      <w:r>
        <w:rPr>
          <w:sz w:val="20"/>
        </w:rPr>
        <w:t>Would pose a direct threat to the health or safety of:</w:t>
      </w:r>
    </w:p>
    <w:p w14:paraId="36F2A379" w14:textId="77777777" w:rsidR="000F6712" w:rsidRDefault="000F6712" w:rsidP="000F6712">
      <w:pPr>
        <w:ind w:left="1080"/>
        <w:rPr>
          <w:sz w:val="20"/>
        </w:rPr>
      </w:pPr>
      <w:r>
        <w:rPr>
          <w:sz w:val="20"/>
        </w:rPr>
        <w:t>(</w:t>
      </w:r>
      <w:proofErr w:type="spellStart"/>
      <w:r>
        <w:rPr>
          <w:sz w:val="20"/>
        </w:rPr>
        <w:t>i</w:t>
      </w:r>
      <w:proofErr w:type="spellEnd"/>
      <w:r>
        <w:rPr>
          <w:sz w:val="20"/>
        </w:rPr>
        <w:t>) the purchaser; or</w:t>
      </w:r>
    </w:p>
    <w:p w14:paraId="15762F21" w14:textId="77777777" w:rsidR="000F6712" w:rsidRDefault="000F6712" w:rsidP="000F6712">
      <w:pPr>
        <w:ind w:left="720"/>
        <w:rPr>
          <w:sz w:val="20"/>
        </w:rPr>
      </w:pPr>
      <w:r>
        <w:rPr>
          <w:sz w:val="20"/>
        </w:rPr>
        <w:t xml:space="preserve">       (ii) an occupant of the real property, including a tenant or invitee of the purchaser.</w:t>
      </w:r>
    </w:p>
    <w:p w14:paraId="71FAB41E" w14:textId="77777777" w:rsidR="000F6712" w:rsidRDefault="000F6712" w:rsidP="000F6712"/>
    <w:p w14:paraId="39DCC667" w14:textId="77777777" w:rsidR="000F6712" w:rsidRPr="0065068E" w:rsidRDefault="000F6712" w:rsidP="000F6712">
      <w:pPr>
        <w:jc w:val="center"/>
        <w:rPr>
          <w:b/>
          <w:sz w:val="20"/>
        </w:rPr>
      </w:pPr>
      <w:smartTag w:uri="urn:schemas-microsoft-com:office:smarttags" w:element="place">
        <w:smartTag w:uri="urn:schemas-microsoft-com:office:smarttags" w:element="State">
          <w:r w:rsidRPr="0065068E">
            <w:rPr>
              <w:b/>
              <w:sz w:val="20"/>
            </w:rPr>
            <w:t>MARYLAND</w:t>
          </w:r>
        </w:smartTag>
      </w:smartTag>
      <w:r w:rsidRPr="0065068E">
        <w:rPr>
          <w:b/>
          <w:sz w:val="20"/>
        </w:rPr>
        <w:t xml:space="preserve"> RESIDENTIAL PROPERTY DISCLAIMER STATEMENT</w:t>
      </w:r>
    </w:p>
    <w:p w14:paraId="65B43FA6" w14:textId="77777777" w:rsidR="000F6712" w:rsidRDefault="000F6712" w:rsidP="000F6712"/>
    <w:p w14:paraId="4EFAA22A" w14:textId="77777777" w:rsidR="000F6712" w:rsidRPr="0065068E" w:rsidRDefault="000F6712" w:rsidP="000F6712">
      <w:pPr>
        <w:ind w:left="-360" w:right="-180"/>
        <w:rPr>
          <w:sz w:val="20"/>
        </w:rPr>
      </w:pPr>
      <w:r>
        <w:tab/>
      </w:r>
      <w:r w:rsidRPr="0065068E">
        <w:rPr>
          <w:sz w:val="20"/>
        </w:rPr>
        <w:t>NOTICE TO OWNER(S):  Sign this statement only if you elect to sell the property without representations and warranties as to its condition, except as otherwise provided in the contract of sale and in the listing of latent defects set forth below; otherwise, complete and sign the RESIDENTIAL PROPERTY DISCLOSURE STATEMENT.</w:t>
      </w:r>
    </w:p>
    <w:p w14:paraId="002BFD74" w14:textId="77777777" w:rsidR="000F6712" w:rsidRPr="0065068E" w:rsidRDefault="000F6712" w:rsidP="000F6712">
      <w:pPr>
        <w:rPr>
          <w:sz w:val="20"/>
        </w:rPr>
      </w:pPr>
    </w:p>
    <w:p w14:paraId="32A6F69A" w14:textId="77777777" w:rsidR="000F6712" w:rsidRPr="0065068E" w:rsidRDefault="000F6712" w:rsidP="000F6712">
      <w:pPr>
        <w:rPr>
          <w:sz w:val="20"/>
        </w:rPr>
      </w:pPr>
      <w:r w:rsidRPr="0065068E">
        <w:rPr>
          <w:sz w:val="20"/>
        </w:rPr>
        <w:t>Except for the latent defects listed below, the undersigned owner(s) of the real property make no representations or warranties as to the condition of the real property or any improvements thereon, and the purchaser will be receiving the real property "as is" with all defects, including latent defects, which may exist, except as otherwise provided in the real estate contract of sale.  The owner(s) acknowledge having carefully examined this statement and further acknowledge that they have been informed of their rights and obligations under §10-702 of the Maryland Real Property Article.</w:t>
      </w:r>
    </w:p>
    <w:p w14:paraId="4A4F32E9" w14:textId="77777777" w:rsidR="000F6712" w:rsidRDefault="000F6712" w:rsidP="000F6712">
      <w:pPr>
        <w:rPr>
          <w:sz w:val="18"/>
          <w:szCs w:val="18"/>
        </w:rPr>
      </w:pPr>
    </w:p>
    <w:p w14:paraId="5B60E903" w14:textId="77777777" w:rsidR="000F6712" w:rsidRPr="0065068E" w:rsidRDefault="000F6712" w:rsidP="000F6712">
      <w:pPr>
        <w:rPr>
          <w:sz w:val="18"/>
          <w:szCs w:val="18"/>
        </w:rPr>
      </w:pPr>
      <w:r w:rsidRPr="0065068E">
        <w:rPr>
          <w:sz w:val="18"/>
          <w:szCs w:val="18"/>
        </w:rPr>
        <w:t>Owner _________________________________________________</w:t>
      </w:r>
      <w:r w:rsidRPr="0065068E">
        <w:rPr>
          <w:sz w:val="18"/>
          <w:szCs w:val="18"/>
        </w:rPr>
        <w:tab/>
      </w:r>
      <w:r>
        <w:rPr>
          <w:sz w:val="18"/>
          <w:szCs w:val="18"/>
        </w:rPr>
        <w:tab/>
      </w:r>
      <w:r w:rsidRPr="0065068E">
        <w:rPr>
          <w:sz w:val="18"/>
          <w:szCs w:val="18"/>
        </w:rPr>
        <w:t>Date______________________</w:t>
      </w:r>
    </w:p>
    <w:p w14:paraId="2FD80629" w14:textId="77777777" w:rsidR="00F5101C" w:rsidRDefault="00F5101C" w:rsidP="00F5101C">
      <w:pPr>
        <w:rPr>
          <w:sz w:val="18"/>
          <w:szCs w:val="18"/>
        </w:rPr>
      </w:pPr>
    </w:p>
    <w:p w14:paraId="0D712638" w14:textId="77777777" w:rsidR="00F5101C" w:rsidRPr="0065068E" w:rsidRDefault="00F5101C" w:rsidP="00F5101C">
      <w:pPr>
        <w:rPr>
          <w:sz w:val="18"/>
          <w:szCs w:val="18"/>
        </w:rPr>
      </w:pPr>
      <w:r w:rsidRPr="0065068E">
        <w:rPr>
          <w:sz w:val="18"/>
          <w:szCs w:val="18"/>
        </w:rPr>
        <w:t>Owner _________________________________________________</w:t>
      </w:r>
      <w:r w:rsidRPr="0065068E">
        <w:rPr>
          <w:sz w:val="18"/>
          <w:szCs w:val="18"/>
        </w:rPr>
        <w:tab/>
      </w:r>
      <w:r>
        <w:rPr>
          <w:sz w:val="18"/>
          <w:szCs w:val="18"/>
        </w:rPr>
        <w:tab/>
      </w:r>
      <w:r w:rsidRPr="0065068E">
        <w:rPr>
          <w:sz w:val="18"/>
          <w:szCs w:val="18"/>
        </w:rPr>
        <w:t>Date______________________</w:t>
      </w:r>
    </w:p>
    <w:p w14:paraId="48D3E538" w14:textId="77777777" w:rsidR="000F6712" w:rsidRPr="002A7A94" w:rsidRDefault="000F6712" w:rsidP="000F6712">
      <w:pPr>
        <w:rPr>
          <w:sz w:val="18"/>
          <w:szCs w:val="18"/>
        </w:rPr>
      </w:pPr>
    </w:p>
    <w:p w14:paraId="040D7C00" w14:textId="77777777" w:rsidR="000F6712" w:rsidRPr="0065068E" w:rsidRDefault="000F6712" w:rsidP="000F6712">
      <w:pPr>
        <w:rPr>
          <w:sz w:val="18"/>
          <w:szCs w:val="18"/>
        </w:rPr>
      </w:pPr>
    </w:p>
    <w:p w14:paraId="145AB9A2" w14:textId="77777777" w:rsidR="000F6712" w:rsidRPr="0065068E" w:rsidRDefault="000F6712" w:rsidP="000F6712">
      <w:pPr>
        <w:rPr>
          <w:sz w:val="18"/>
          <w:szCs w:val="18"/>
        </w:rPr>
      </w:pPr>
      <w:r w:rsidRPr="0065068E">
        <w:rPr>
          <w:sz w:val="18"/>
          <w:szCs w:val="18"/>
        </w:rPr>
        <w:t>The purchaser(s) acknowledge receipt of a copy of this disclaimer statement and further acknowledge that they have been informed of their rights and obligations under §10-702 of the Maryland Real Property Article.</w:t>
      </w:r>
    </w:p>
    <w:p w14:paraId="77904714" w14:textId="77777777" w:rsidR="000F6712" w:rsidRPr="0065068E" w:rsidRDefault="000F6712" w:rsidP="000F6712">
      <w:pPr>
        <w:rPr>
          <w:sz w:val="18"/>
          <w:szCs w:val="18"/>
        </w:rPr>
      </w:pPr>
    </w:p>
    <w:p w14:paraId="7503B230" w14:textId="77777777" w:rsidR="000F6712" w:rsidRPr="0065068E" w:rsidRDefault="000F6712" w:rsidP="000F6712">
      <w:pPr>
        <w:rPr>
          <w:sz w:val="18"/>
          <w:szCs w:val="18"/>
        </w:rPr>
      </w:pPr>
      <w:r w:rsidRPr="0065068E">
        <w:rPr>
          <w:sz w:val="18"/>
          <w:szCs w:val="18"/>
        </w:rPr>
        <w:t>Purchaser _____________________________________________</w:t>
      </w:r>
      <w:r w:rsidRPr="0065068E">
        <w:rPr>
          <w:sz w:val="18"/>
          <w:szCs w:val="18"/>
        </w:rPr>
        <w:tab/>
      </w:r>
      <w:r w:rsidRPr="0065068E">
        <w:rPr>
          <w:sz w:val="18"/>
          <w:szCs w:val="18"/>
        </w:rPr>
        <w:tab/>
        <w:t>Date______________________</w:t>
      </w:r>
    </w:p>
    <w:p w14:paraId="29D7D93E" w14:textId="77777777" w:rsidR="000F6712" w:rsidRPr="0065068E" w:rsidRDefault="000F6712" w:rsidP="000F6712">
      <w:pPr>
        <w:rPr>
          <w:sz w:val="18"/>
          <w:szCs w:val="18"/>
        </w:rPr>
      </w:pPr>
    </w:p>
    <w:p w14:paraId="58B5F876" w14:textId="77777777" w:rsidR="000F6712" w:rsidRDefault="000F6712" w:rsidP="000F6712">
      <w:pPr>
        <w:rPr>
          <w:sz w:val="18"/>
          <w:szCs w:val="18"/>
        </w:rPr>
      </w:pPr>
      <w:r w:rsidRPr="0065068E">
        <w:rPr>
          <w:sz w:val="18"/>
          <w:szCs w:val="18"/>
        </w:rPr>
        <w:t>Purchaser _____________________________________________</w:t>
      </w:r>
      <w:r w:rsidRPr="0065068E">
        <w:rPr>
          <w:sz w:val="18"/>
          <w:szCs w:val="18"/>
        </w:rPr>
        <w:tab/>
      </w:r>
      <w:r w:rsidRPr="0065068E">
        <w:rPr>
          <w:sz w:val="18"/>
          <w:szCs w:val="18"/>
        </w:rPr>
        <w:tab/>
        <w:t>Date______________________</w:t>
      </w:r>
    </w:p>
    <w:p w14:paraId="5809B802" w14:textId="77777777" w:rsidR="000E1836" w:rsidRDefault="000E1836" w:rsidP="000F6712">
      <w:pPr>
        <w:rPr>
          <w:sz w:val="18"/>
          <w:szCs w:val="18"/>
        </w:rPr>
      </w:pPr>
    </w:p>
    <w:sectPr w:rsidR="000E1836" w:rsidSect="00030262">
      <w:pgSz w:w="12240" w:h="15840" w:code="1"/>
      <w:pgMar w:top="432" w:right="72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B069D"/>
    <w:multiLevelType w:val="multilevel"/>
    <w:tmpl w:val="6C1C0BC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2"/>
      <w:numFmt w:val="lowerRoman"/>
      <w:lvlText w:val="(%3)"/>
      <w:lvlJc w:val="left"/>
      <w:pPr>
        <w:tabs>
          <w:tab w:val="num" w:pos="1620"/>
        </w:tabs>
        <w:ind w:left="1620" w:hanging="720"/>
      </w:pPr>
      <w:rPr>
        <w:rFonts w:hint="default"/>
      </w:r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74FB0129"/>
    <w:multiLevelType w:val="hybridMultilevel"/>
    <w:tmpl w:val="47725FFE"/>
    <w:lvl w:ilvl="0" w:tplc="F55C68C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1DA179E">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17518949">
    <w:abstractNumId w:val="0"/>
  </w:num>
  <w:num w:numId="2" w16cid:durableId="1645501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12"/>
    <w:rsid w:val="0000024D"/>
    <w:rsid w:val="00003799"/>
    <w:rsid w:val="000263CF"/>
    <w:rsid w:val="00030262"/>
    <w:rsid w:val="00034A8A"/>
    <w:rsid w:val="0004096D"/>
    <w:rsid w:val="00053763"/>
    <w:rsid w:val="000675CE"/>
    <w:rsid w:val="00072DA1"/>
    <w:rsid w:val="000737F0"/>
    <w:rsid w:val="00081B94"/>
    <w:rsid w:val="0008359F"/>
    <w:rsid w:val="000A1CFE"/>
    <w:rsid w:val="000B2B9A"/>
    <w:rsid w:val="000D0DE4"/>
    <w:rsid w:val="000D4789"/>
    <w:rsid w:val="000D528A"/>
    <w:rsid w:val="000D5645"/>
    <w:rsid w:val="000E1836"/>
    <w:rsid w:val="000E6B6E"/>
    <w:rsid w:val="000F011D"/>
    <w:rsid w:val="000F6712"/>
    <w:rsid w:val="00105E61"/>
    <w:rsid w:val="00126896"/>
    <w:rsid w:val="0013139E"/>
    <w:rsid w:val="00151B58"/>
    <w:rsid w:val="0016389D"/>
    <w:rsid w:val="001A2ED2"/>
    <w:rsid w:val="001A4B5F"/>
    <w:rsid w:val="001B05E3"/>
    <w:rsid w:val="001B6525"/>
    <w:rsid w:val="001B66A5"/>
    <w:rsid w:val="001C15D6"/>
    <w:rsid w:val="001D7DF0"/>
    <w:rsid w:val="001F35FD"/>
    <w:rsid w:val="001F4B3C"/>
    <w:rsid w:val="002021A2"/>
    <w:rsid w:val="00222950"/>
    <w:rsid w:val="0022474E"/>
    <w:rsid w:val="00233360"/>
    <w:rsid w:val="00251176"/>
    <w:rsid w:val="00260E52"/>
    <w:rsid w:val="00275859"/>
    <w:rsid w:val="00277E5E"/>
    <w:rsid w:val="00286022"/>
    <w:rsid w:val="00292170"/>
    <w:rsid w:val="0029230F"/>
    <w:rsid w:val="002A00B3"/>
    <w:rsid w:val="002A7A94"/>
    <w:rsid w:val="002D7E1E"/>
    <w:rsid w:val="003135AA"/>
    <w:rsid w:val="003177FF"/>
    <w:rsid w:val="0034357E"/>
    <w:rsid w:val="00350389"/>
    <w:rsid w:val="00366381"/>
    <w:rsid w:val="00376B5B"/>
    <w:rsid w:val="003953FD"/>
    <w:rsid w:val="00396CDF"/>
    <w:rsid w:val="003A37BF"/>
    <w:rsid w:val="003B1FA4"/>
    <w:rsid w:val="003B5D37"/>
    <w:rsid w:val="003B6F79"/>
    <w:rsid w:val="003C1C45"/>
    <w:rsid w:val="003C42BC"/>
    <w:rsid w:val="003D008A"/>
    <w:rsid w:val="003D1BBC"/>
    <w:rsid w:val="003E0290"/>
    <w:rsid w:val="003E47A6"/>
    <w:rsid w:val="003E5C13"/>
    <w:rsid w:val="003E72EB"/>
    <w:rsid w:val="003F13C7"/>
    <w:rsid w:val="00401DD6"/>
    <w:rsid w:val="00405A5F"/>
    <w:rsid w:val="0041215E"/>
    <w:rsid w:val="0041312A"/>
    <w:rsid w:val="00422279"/>
    <w:rsid w:val="0042318A"/>
    <w:rsid w:val="00433B93"/>
    <w:rsid w:val="0044335C"/>
    <w:rsid w:val="004852A7"/>
    <w:rsid w:val="004B5522"/>
    <w:rsid w:val="004C461C"/>
    <w:rsid w:val="004D5FCD"/>
    <w:rsid w:val="004F7210"/>
    <w:rsid w:val="00500BE2"/>
    <w:rsid w:val="00501269"/>
    <w:rsid w:val="005035E9"/>
    <w:rsid w:val="00521A2A"/>
    <w:rsid w:val="00522222"/>
    <w:rsid w:val="00522374"/>
    <w:rsid w:val="0055723A"/>
    <w:rsid w:val="005669D5"/>
    <w:rsid w:val="00595F0B"/>
    <w:rsid w:val="005A70DC"/>
    <w:rsid w:val="005B1107"/>
    <w:rsid w:val="005B58C9"/>
    <w:rsid w:val="005C5D7B"/>
    <w:rsid w:val="005D0C4D"/>
    <w:rsid w:val="005E4685"/>
    <w:rsid w:val="00606AB9"/>
    <w:rsid w:val="00607095"/>
    <w:rsid w:val="00613103"/>
    <w:rsid w:val="0064111F"/>
    <w:rsid w:val="00656905"/>
    <w:rsid w:val="006639D8"/>
    <w:rsid w:val="00665C6B"/>
    <w:rsid w:val="00670D48"/>
    <w:rsid w:val="00676AAE"/>
    <w:rsid w:val="00676FCC"/>
    <w:rsid w:val="0068371B"/>
    <w:rsid w:val="00687C0E"/>
    <w:rsid w:val="00692E99"/>
    <w:rsid w:val="00697177"/>
    <w:rsid w:val="006A65AA"/>
    <w:rsid w:val="006B6FE1"/>
    <w:rsid w:val="006E4CC3"/>
    <w:rsid w:val="006F0E19"/>
    <w:rsid w:val="0070079E"/>
    <w:rsid w:val="00700A41"/>
    <w:rsid w:val="007036F9"/>
    <w:rsid w:val="0071009A"/>
    <w:rsid w:val="00711B83"/>
    <w:rsid w:val="007244A7"/>
    <w:rsid w:val="0073152F"/>
    <w:rsid w:val="0073373A"/>
    <w:rsid w:val="0075175B"/>
    <w:rsid w:val="00755E50"/>
    <w:rsid w:val="0076605E"/>
    <w:rsid w:val="007678AF"/>
    <w:rsid w:val="007702B9"/>
    <w:rsid w:val="00772C99"/>
    <w:rsid w:val="007773B3"/>
    <w:rsid w:val="00795F0B"/>
    <w:rsid w:val="007A255A"/>
    <w:rsid w:val="007A2C7B"/>
    <w:rsid w:val="007A7F48"/>
    <w:rsid w:val="007B6FD4"/>
    <w:rsid w:val="007C4F1A"/>
    <w:rsid w:val="007C4FDF"/>
    <w:rsid w:val="007C5252"/>
    <w:rsid w:val="007D559D"/>
    <w:rsid w:val="007E53BF"/>
    <w:rsid w:val="00802EFF"/>
    <w:rsid w:val="008231F8"/>
    <w:rsid w:val="0083085C"/>
    <w:rsid w:val="00877FF2"/>
    <w:rsid w:val="00880F1E"/>
    <w:rsid w:val="0088717A"/>
    <w:rsid w:val="00895091"/>
    <w:rsid w:val="008B24C9"/>
    <w:rsid w:val="008B481E"/>
    <w:rsid w:val="008D096D"/>
    <w:rsid w:val="008D3058"/>
    <w:rsid w:val="008D38FD"/>
    <w:rsid w:val="008D5C6F"/>
    <w:rsid w:val="008E4C10"/>
    <w:rsid w:val="009016BB"/>
    <w:rsid w:val="0094009B"/>
    <w:rsid w:val="00943F78"/>
    <w:rsid w:val="00966349"/>
    <w:rsid w:val="009A04DA"/>
    <w:rsid w:val="009B3081"/>
    <w:rsid w:val="009B5252"/>
    <w:rsid w:val="009B63AD"/>
    <w:rsid w:val="009D0C6C"/>
    <w:rsid w:val="009D0D81"/>
    <w:rsid w:val="00A00ABF"/>
    <w:rsid w:val="00A058B0"/>
    <w:rsid w:val="00A1592C"/>
    <w:rsid w:val="00A15C0D"/>
    <w:rsid w:val="00A23DDA"/>
    <w:rsid w:val="00A254FC"/>
    <w:rsid w:val="00A31AE7"/>
    <w:rsid w:val="00A44EC8"/>
    <w:rsid w:val="00A5413E"/>
    <w:rsid w:val="00A64FB3"/>
    <w:rsid w:val="00A732C0"/>
    <w:rsid w:val="00AC26BC"/>
    <w:rsid w:val="00AD1B37"/>
    <w:rsid w:val="00B35067"/>
    <w:rsid w:val="00B36EFE"/>
    <w:rsid w:val="00B427F6"/>
    <w:rsid w:val="00B448FB"/>
    <w:rsid w:val="00B51727"/>
    <w:rsid w:val="00B53E69"/>
    <w:rsid w:val="00B66C8B"/>
    <w:rsid w:val="00BA568E"/>
    <w:rsid w:val="00BF06B7"/>
    <w:rsid w:val="00BF1BFB"/>
    <w:rsid w:val="00C028A3"/>
    <w:rsid w:val="00C02D1F"/>
    <w:rsid w:val="00C03773"/>
    <w:rsid w:val="00C357CE"/>
    <w:rsid w:val="00C42B10"/>
    <w:rsid w:val="00C45766"/>
    <w:rsid w:val="00C47948"/>
    <w:rsid w:val="00C54658"/>
    <w:rsid w:val="00C81D9D"/>
    <w:rsid w:val="00CA38BB"/>
    <w:rsid w:val="00CF7CD2"/>
    <w:rsid w:val="00D01E10"/>
    <w:rsid w:val="00D02876"/>
    <w:rsid w:val="00D10E33"/>
    <w:rsid w:val="00D12125"/>
    <w:rsid w:val="00D13FB4"/>
    <w:rsid w:val="00D23A30"/>
    <w:rsid w:val="00D27030"/>
    <w:rsid w:val="00D3267A"/>
    <w:rsid w:val="00D52E30"/>
    <w:rsid w:val="00D607B1"/>
    <w:rsid w:val="00D60C01"/>
    <w:rsid w:val="00D932C2"/>
    <w:rsid w:val="00DA17B9"/>
    <w:rsid w:val="00DD0911"/>
    <w:rsid w:val="00DD7A3A"/>
    <w:rsid w:val="00DF2075"/>
    <w:rsid w:val="00E020CD"/>
    <w:rsid w:val="00E06BF0"/>
    <w:rsid w:val="00E07EDF"/>
    <w:rsid w:val="00E237F2"/>
    <w:rsid w:val="00E4708C"/>
    <w:rsid w:val="00E76829"/>
    <w:rsid w:val="00E83766"/>
    <w:rsid w:val="00E85D89"/>
    <w:rsid w:val="00E87E9E"/>
    <w:rsid w:val="00E90C3E"/>
    <w:rsid w:val="00EA20B6"/>
    <w:rsid w:val="00EA2D0D"/>
    <w:rsid w:val="00EA5906"/>
    <w:rsid w:val="00EB5337"/>
    <w:rsid w:val="00EB55DD"/>
    <w:rsid w:val="00EC5676"/>
    <w:rsid w:val="00ED04F2"/>
    <w:rsid w:val="00F014A9"/>
    <w:rsid w:val="00F2617A"/>
    <w:rsid w:val="00F33274"/>
    <w:rsid w:val="00F433CB"/>
    <w:rsid w:val="00F5101C"/>
    <w:rsid w:val="00F666FD"/>
    <w:rsid w:val="00F66FC6"/>
    <w:rsid w:val="00F72239"/>
    <w:rsid w:val="00F776EA"/>
    <w:rsid w:val="00F93945"/>
    <w:rsid w:val="00F97A9A"/>
    <w:rsid w:val="00FA39D4"/>
    <w:rsid w:val="00FA600D"/>
    <w:rsid w:val="00FD36E5"/>
    <w:rsid w:val="00FD660C"/>
    <w:rsid w:val="00FE42B0"/>
    <w:rsid w:val="00FF3683"/>
    <w:rsid w:val="00F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9EFFFB"/>
  <w15:chartTrackingRefBased/>
  <w15:docId w15:val="{D91FEB2C-28B7-4F96-8D4E-2ED5532A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7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712"/>
    <w:pPr>
      <w:ind w:left="-720"/>
      <w:jc w:val="center"/>
    </w:pPr>
    <w:rPr>
      <w:b/>
      <w:sz w:val="20"/>
    </w:rPr>
  </w:style>
  <w:style w:type="paragraph" w:styleId="BodyTextIndent">
    <w:name w:val="Body Text Indent"/>
    <w:basedOn w:val="Normal"/>
    <w:rsid w:val="007773B3"/>
    <w:pPr>
      <w:spacing w:after="120"/>
      <w:ind w:left="360"/>
    </w:pPr>
    <w:rPr>
      <w:sz w:val="20"/>
    </w:rPr>
  </w:style>
  <w:style w:type="paragraph" w:styleId="BalloonText">
    <w:name w:val="Balloon Text"/>
    <w:basedOn w:val="Normal"/>
    <w:link w:val="BalloonTextChar"/>
    <w:rsid w:val="00A732C0"/>
    <w:rPr>
      <w:rFonts w:ascii="Segoe UI" w:hAnsi="Segoe UI" w:cs="Segoe UI"/>
      <w:sz w:val="18"/>
      <w:szCs w:val="18"/>
    </w:rPr>
  </w:style>
  <w:style w:type="character" w:customStyle="1" w:styleId="BalloonTextChar">
    <w:name w:val="Balloon Text Char"/>
    <w:link w:val="BalloonText"/>
    <w:rsid w:val="00A73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MARYLAND RESIDENTIAL PROPERTY DISCLOSURE AND DISCLAIMER STATEMENT</vt:lpstr>
    </vt:vector>
  </TitlesOfParts>
  <Company>jayedwards&amp; assoc.</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PROPERTY DISCLOSURE AND DISCLAIMER STATEMENT</dc:title>
  <dc:subject/>
  <dc:creator>jayedwards</dc:creator>
  <cp:keywords/>
  <dc:description/>
  <cp:lastModifiedBy>Lea Mosley</cp:lastModifiedBy>
  <cp:revision>3</cp:revision>
  <cp:lastPrinted>2019-09-04T19:10:00Z</cp:lastPrinted>
  <dcterms:created xsi:type="dcterms:W3CDTF">2021-04-13T16:33:00Z</dcterms:created>
  <dcterms:modified xsi:type="dcterms:W3CDTF">2024-02-05T14:39:00Z</dcterms:modified>
</cp:coreProperties>
</file>